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F8D44">
      <w:pPr>
        <w:keepNext/>
        <w:keepLines/>
        <w:pageBreakBefore/>
        <w:jc w:val="center"/>
        <w:outlineLvl w:val="0"/>
        <w:rPr>
          <w:rFonts w:hint="eastAsia"/>
          <w:b/>
          <w:color w:val="auto"/>
          <w:sz w:val="44"/>
          <w:szCs w:val="44"/>
          <w:highlight w:val="none"/>
        </w:rPr>
      </w:pPr>
      <w:r>
        <w:rPr>
          <w:b/>
          <w:color w:val="auto"/>
          <w:sz w:val="44"/>
          <w:szCs w:val="44"/>
          <w:highlight w:val="none"/>
        </w:rPr>
        <w:t xml:space="preserve">  </w:t>
      </w:r>
      <w:r>
        <w:rPr>
          <w:rFonts w:hint="eastAsia"/>
          <w:b/>
          <w:color w:val="auto"/>
          <w:sz w:val="44"/>
          <w:szCs w:val="44"/>
          <w:highlight w:val="none"/>
        </w:rPr>
        <w:t>采购需求</w:t>
      </w:r>
    </w:p>
    <w:p w14:paraId="32F24FF0">
      <w:pPr>
        <w:spacing w:line="480" w:lineRule="exact"/>
        <w:ind w:firstLine="562" w:firstLineChars="200"/>
        <w:outlineLvl w:val="1"/>
        <w:rPr>
          <w:rFonts w:ascii="宋体" w:hAnsi="宋体"/>
          <w:b/>
          <w:color w:val="auto"/>
          <w:sz w:val="28"/>
          <w:szCs w:val="28"/>
          <w:highlight w:val="none"/>
        </w:rPr>
      </w:pPr>
      <w:r>
        <w:rPr>
          <w:rFonts w:hint="eastAsia" w:ascii="宋体" w:hAnsi="宋体"/>
          <w:b/>
          <w:color w:val="auto"/>
          <w:sz w:val="28"/>
          <w:szCs w:val="28"/>
          <w:highlight w:val="none"/>
        </w:rPr>
        <w:t>一</w:t>
      </w:r>
      <w:r>
        <w:rPr>
          <w:rFonts w:ascii="宋体" w:hAnsi="宋体"/>
          <w:b/>
          <w:color w:val="auto"/>
          <w:sz w:val="28"/>
          <w:szCs w:val="28"/>
          <w:highlight w:val="none"/>
        </w:rPr>
        <w:t>、</w:t>
      </w:r>
      <w:r>
        <w:rPr>
          <w:rFonts w:hint="eastAsia" w:ascii="宋体" w:hAnsi="宋体"/>
          <w:b/>
          <w:color w:val="auto"/>
          <w:sz w:val="28"/>
          <w:szCs w:val="28"/>
          <w:highlight w:val="none"/>
        </w:rPr>
        <w:t>采购</w:t>
      </w:r>
      <w:r>
        <w:rPr>
          <w:rFonts w:ascii="宋体" w:hAnsi="宋体"/>
          <w:b/>
          <w:color w:val="auto"/>
          <w:sz w:val="28"/>
          <w:szCs w:val="28"/>
          <w:highlight w:val="none"/>
        </w:rPr>
        <w:t>标的清单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35"/>
        <w:gridCol w:w="3150"/>
        <w:gridCol w:w="2290"/>
      </w:tblGrid>
      <w:tr w14:paraId="286C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noWrap w:val="0"/>
            <w:vAlign w:val="center"/>
          </w:tcPr>
          <w:p w14:paraId="3AA82968">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采购包</w:t>
            </w:r>
          </w:p>
        </w:tc>
        <w:tc>
          <w:tcPr>
            <w:tcW w:w="735" w:type="dxa"/>
            <w:noWrap w:val="0"/>
            <w:vAlign w:val="center"/>
          </w:tcPr>
          <w:p w14:paraId="137AE41F">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150" w:type="dxa"/>
            <w:noWrap w:val="0"/>
            <w:vAlign w:val="center"/>
          </w:tcPr>
          <w:p w14:paraId="6590F139">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采购标的</w:t>
            </w:r>
          </w:p>
        </w:tc>
        <w:tc>
          <w:tcPr>
            <w:tcW w:w="2290" w:type="dxa"/>
            <w:noWrap w:val="0"/>
            <w:vAlign w:val="center"/>
          </w:tcPr>
          <w:p w14:paraId="7C923B2F">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对应中</w:t>
            </w:r>
            <w:r>
              <w:rPr>
                <w:rFonts w:ascii="宋体" w:hAnsi="宋体"/>
                <w:color w:val="auto"/>
                <w:sz w:val="24"/>
                <w:szCs w:val="24"/>
                <w:highlight w:val="none"/>
              </w:rPr>
              <w:t>小企业划分标准所属行业</w:t>
            </w:r>
          </w:p>
        </w:tc>
      </w:tr>
      <w:tr w14:paraId="7CFA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971" w:type="dxa"/>
            <w:noWrap w:val="0"/>
            <w:vAlign w:val="center"/>
          </w:tcPr>
          <w:p w14:paraId="5A3A7006">
            <w:pPr>
              <w:tabs>
                <w:tab w:val="left" w:pos="2020"/>
              </w:tabs>
              <w:spacing w:line="48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735" w:type="dxa"/>
            <w:noWrap w:val="0"/>
            <w:vAlign w:val="center"/>
          </w:tcPr>
          <w:p w14:paraId="501D4402">
            <w:pPr>
              <w:tabs>
                <w:tab w:val="left" w:pos="2020"/>
              </w:tabs>
              <w:spacing w:line="48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3150" w:type="dxa"/>
            <w:noWrap w:val="0"/>
            <w:vAlign w:val="center"/>
          </w:tcPr>
          <w:p w14:paraId="6B752C51">
            <w:pPr>
              <w:tabs>
                <w:tab w:val="left" w:pos="2020"/>
              </w:tabs>
              <w:spacing w:line="48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电梯</w:t>
            </w:r>
          </w:p>
        </w:tc>
        <w:tc>
          <w:tcPr>
            <w:tcW w:w="2290" w:type="dxa"/>
            <w:noWrap w:val="0"/>
            <w:vAlign w:val="center"/>
          </w:tcPr>
          <w:p w14:paraId="19DBB3D1">
            <w:pPr>
              <w:spacing w:line="480" w:lineRule="exact"/>
              <w:ind w:firstLine="720" w:firstLineChars="300"/>
              <w:jc w:val="both"/>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工业</w:t>
            </w:r>
          </w:p>
        </w:tc>
      </w:tr>
    </w:tbl>
    <w:p w14:paraId="11050328">
      <w:pPr>
        <w:spacing w:line="480" w:lineRule="exact"/>
        <w:ind w:firstLine="562" w:firstLineChars="200"/>
        <w:outlineLvl w:val="1"/>
        <w:rPr>
          <w:rFonts w:hint="eastAsia"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8"/>
          <w:highlight w:val="none"/>
          <w:lang w:val="en-US" w:eastAsia="zh-CN"/>
        </w:rPr>
        <w:t>二、项目概况</w:t>
      </w:r>
    </w:p>
    <w:p w14:paraId="402224D1">
      <w:pPr>
        <w:spacing w:line="400" w:lineRule="exact"/>
        <w:ind w:firstLine="480" w:firstLineChars="200"/>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（一）项目名称：</w:t>
      </w:r>
      <w:r>
        <w:rPr>
          <w:rFonts w:hint="eastAsia" w:ascii="宋体" w:hAnsi="宋体"/>
          <w:color w:val="auto"/>
          <w:sz w:val="24"/>
          <w:szCs w:val="24"/>
          <w:highlight w:val="none"/>
        </w:rPr>
        <w:t>2025年泗洪县城区住宅电梯更新采购项目</w:t>
      </w:r>
    </w:p>
    <w:p w14:paraId="51FF3489">
      <w:pPr>
        <w:spacing w:line="400" w:lineRule="exact"/>
        <w:ind w:firstLine="480" w:firstLineChars="200"/>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（二）预算金额: </w:t>
      </w:r>
      <w:r>
        <w:rPr>
          <w:rFonts w:hint="eastAsia" w:ascii="宋体" w:hAnsi="宋体" w:cs="宋体"/>
          <w:i w:val="0"/>
          <w:iCs w:val="0"/>
          <w:caps w:val="0"/>
          <w:color w:val="auto"/>
          <w:spacing w:val="0"/>
          <w:sz w:val="24"/>
          <w:szCs w:val="24"/>
          <w:shd w:val="clear" w:color="auto" w:fill="FFFFFF"/>
          <w:lang w:val="en-US" w:eastAsia="zh-CN"/>
        </w:rPr>
        <w:t>280</w:t>
      </w:r>
      <w:r>
        <w:rPr>
          <w:rFonts w:hint="eastAsia" w:ascii="宋体" w:hAnsi="宋体" w:eastAsia="宋体" w:cs="宋体"/>
          <w:i w:val="0"/>
          <w:iCs w:val="0"/>
          <w:caps w:val="0"/>
          <w:color w:val="auto"/>
          <w:spacing w:val="0"/>
          <w:sz w:val="24"/>
          <w:szCs w:val="24"/>
          <w:shd w:val="clear" w:color="auto" w:fill="FFFFFF"/>
          <w:lang w:val="en-US" w:eastAsia="zh-CN"/>
        </w:rPr>
        <w:t>万元</w:t>
      </w:r>
    </w:p>
    <w:p w14:paraId="737F0874">
      <w:pPr>
        <w:spacing w:line="400" w:lineRule="exact"/>
        <w:ind w:firstLine="480" w:firstLineChars="200"/>
        <w:rPr>
          <w:rFonts w:hint="eastAsia" w:ascii="宋体" w:hAnsi="宋体"/>
          <w:b/>
          <w:color w:val="auto"/>
          <w:sz w:val="24"/>
          <w:szCs w:val="24"/>
          <w:highlight w:val="none"/>
        </w:rPr>
      </w:pPr>
      <w:r>
        <w:rPr>
          <w:rFonts w:hint="eastAsia" w:ascii="宋体" w:hAnsi="宋体" w:cs="宋体"/>
          <w:b w:val="0"/>
          <w:bCs w:val="0"/>
          <w:color w:val="auto"/>
          <w:sz w:val="24"/>
          <w:highlight w:val="none"/>
        </w:rPr>
        <w:t>（三）采购内容：</w:t>
      </w:r>
      <w:r>
        <w:rPr>
          <w:rFonts w:hint="eastAsia" w:ascii="Times New Roman" w:hAnsi="Times New Roman" w:cs="仿宋"/>
          <w:color w:val="auto"/>
          <w:sz w:val="24"/>
          <w:szCs w:val="24"/>
          <w:highlight w:val="none"/>
          <w:lang w:eastAsia="zh-CN"/>
        </w:rPr>
        <w:t>泗洪县住房和城乡建设局拟对</w:t>
      </w:r>
      <w:r>
        <w:rPr>
          <w:rFonts w:hint="eastAsia" w:ascii="Times New Roman" w:hAnsi="Times New Roman" w:cs="仿宋"/>
          <w:color w:val="auto"/>
          <w:sz w:val="24"/>
          <w:szCs w:val="24"/>
          <w:highlight w:val="none"/>
        </w:rPr>
        <w:t>泗洪县城区老旧小区高层住宅17部电梯</w:t>
      </w:r>
      <w:r>
        <w:rPr>
          <w:rFonts w:hint="eastAsia" w:ascii="Times New Roman" w:hAnsi="Times New Roman" w:cs="仿宋"/>
          <w:color w:val="auto"/>
          <w:sz w:val="24"/>
          <w:szCs w:val="24"/>
          <w:highlight w:val="none"/>
          <w:lang w:eastAsia="zh-CN"/>
        </w:rPr>
        <w:t>进行</w:t>
      </w:r>
      <w:r>
        <w:rPr>
          <w:rFonts w:hint="eastAsia" w:ascii="Times New Roman" w:hAnsi="Times New Roman" w:cs="仿宋"/>
          <w:color w:val="auto"/>
          <w:sz w:val="24"/>
          <w:szCs w:val="24"/>
          <w:highlight w:val="none"/>
        </w:rPr>
        <w:t>更新</w:t>
      </w:r>
      <w:r>
        <w:rPr>
          <w:rFonts w:hint="eastAsia" w:ascii="Times New Roman" w:hAnsi="Times New Roman" w:cs="仿宋"/>
          <w:color w:val="auto"/>
          <w:sz w:val="24"/>
          <w:szCs w:val="24"/>
          <w:highlight w:val="none"/>
          <w:lang w:eastAsia="zh-CN"/>
        </w:rPr>
        <w:t>，采购内容</w:t>
      </w:r>
      <w:r>
        <w:rPr>
          <w:rFonts w:hint="eastAsia" w:ascii="Times New Roman" w:hAnsi="Times New Roman" w:cs="仿宋"/>
          <w:color w:val="auto"/>
          <w:sz w:val="24"/>
          <w:szCs w:val="24"/>
          <w:highlight w:val="none"/>
        </w:rPr>
        <w:t>包含原有电梯拆除、</w:t>
      </w:r>
      <w:r>
        <w:rPr>
          <w:rFonts w:hint="eastAsia" w:ascii="Times New Roman" w:hAnsi="Times New Roman" w:cs="仿宋"/>
          <w:color w:val="auto"/>
          <w:sz w:val="24"/>
          <w:szCs w:val="24"/>
          <w:highlight w:val="none"/>
          <w:lang w:eastAsia="zh-CN"/>
        </w:rPr>
        <w:t>井道</w:t>
      </w:r>
      <w:r>
        <w:rPr>
          <w:rFonts w:hint="eastAsia" w:ascii="Times New Roman" w:hAnsi="Times New Roman" w:cs="仿宋"/>
          <w:color w:val="auto"/>
          <w:sz w:val="24"/>
          <w:szCs w:val="24"/>
          <w:highlight w:val="none"/>
          <w:lang w:val="en-US" w:eastAsia="zh-CN"/>
        </w:rPr>
        <w:t>及机房</w:t>
      </w:r>
      <w:r>
        <w:rPr>
          <w:rFonts w:hint="eastAsia" w:ascii="Times New Roman" w:hAnsi="Times New Roman" w:cs="仿宋"/>
          <w:color w:val="auto"/>
          <w:sz w:val="24"/>
          <w:szCs w:val="24"/>
          <w:highlight w:val="none"/>
          <w:lang w:eastAsia="zh-CN"/>
        </w:rPr>
        <w:t>改造</w:t>
      </w:r>
      <w:r>
        <w:rPr>
          <w:rFonts w:hint="eastAsia" w:ascii="Times New Roman" w:hAnsi="Times New Roman" w:cs="仿宋"/>
          <w:color w:val="auto"/>
          <w:sz w:val="24"/>
          <w:szCs w:val="24"/>
          <w:highlight w:val="none"/>
          <w:lang w:val="en-US" w:eastAsia="zh-CN"/>
        </w:rPr>
        <w:t xml:space="preserve"> 、</w:t>
      </w:r>
      <w:r>
        <w:rPr>
          <w:rFonts w:hint="eastAsia" w:ascii="Times New Roman" w:hAnsi="Times New Roman" w:cs="仿宋"/>
          <w:color w:val="auto"/>
          <w:sz w:val="24"/>
          <w:szCs w:val="24"/>
          <w:highlight w:val="none"/>
        </w:rPr>
        <w:t>新电梯采购</w:t>
      </w:r>
      <w:r>
        <w:rPr>
          <w:rFonts w:hint="eastAsia" w:ascii="Times New Roman" w:hAnsi="Times New Roman" w:cs="仿宋"/>
          <w:color w:val="auto"/>
          <w:sz w:val="24"/>
          <w:szCs w:val="24"/>
          <w:highlight w:val="none"/>
          <w:lang w:eastAsia="zh-CN"/>
        </w:rPr>
        <w:t>、</w:t>
      </w:r>
      <w:r>
        <w:rPr>
          <w:rFonts w:hint="eastAsia" w:ascii="Times New Roman" w:hAnsi="Times New Roman" w:cs="仿宋"/>
          <w:color w:val="auto"/>
          <w:sz w:val="24"/>
          <w:szCs w:val="24"/>
          <w:highlight w:val="none"/>
        </w:rPr>
        <w:t>安装</w:t>
      </w:r>
      <w:r>
        <w:rPr>
          <w:rFonts w:hint="eastAsia" w:ascii="Times New Roman" w:hAnsi="Times New Roman" w:cs="仿宋"/>
          <w:color w:val="auto"/>
          <w:sz w:val="24"/>
          <w:szCs w:val="24"/>
          <w:highlight w:val="none"/>
          <w:lang w:val="en-US" w:eastAsia="zh-CN"/>
        </w:rPr>
        <w:t>及维保</w:t>
      </w:r>
      <w:r>
        <w:rPr>
          <w:rFonts w:hint="eastAsia" w:ascii="Times New Roman" w:hAnsi="Times New Roman" w:cs="仿宋"/>
          <w:color w:val="auto"/>
          <w:sz w:val="24"/>
          <w:szCs w:val="24"/>
          <w:highlight w:val="none"/>
        </w:rPr>
        <w:t>等</w:t>
      </w:r>
      <w:r>
        <w:rPr>
          <w:rFonts w:hint="eastAsia" w:ascii="宋体" w:hAnsi="宋体" w:eastAsia="宋体" w:cs="宋体"/>
          <w:i w:val="0"/>
          <w:iCs w:val="0"/>
          <w:caps w:val="0"/>
          <w:color w:val="auto"/>
          <w:spacing w:val="0"/>
          <w:sz w:val="24"/>
          <w:szCs w:val="24"/>
          <w:shd w:val="clear" w:color="auto" w:fill="FFFFFF"/>
          <w:lang w:eastAsia="zh-CN"/>
        </w:rPr>
        <w:t>。</w:t>
      </w:r>
    </w:p>
    <w:p w14:paraId="5DF82BDE">
      <w:pPr>
        <w:pStyle w:val="7"/>
        <w:spacing w:line="480" w:lineRule="exact"/>
        <w:ind w:firstLine="482"/>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四</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合同履行期限：合同签订后</w:t>
      </w:r>
      <w:r>
        <w:rPr>
          <w:rFonts w:hint="eastAsia" w:ascii="宋体" w:hAnsi="宋体" w:cs="宋体"/>
          <w:b w:val="0"/>
          <w:bCs w:val="0"/>
          <w:color w:val="auto"/>
          <w:sz w:val="24"/>
          <w:highlight w:val="none"/>
          <w:lang w:val="en-US" w:eastAsia="zh-CN"/>
        </w:rPr>
        <w:t>60日历天内完成供货安装调试</w:t>
      </w:r>
      <w:r>
        <w:rPr>
          <w:rFonts w:hint="eastAsia" w:ascii="宋体" w:hAnsi="宋体" w:cs="宋体"/>
          <w:b w:val="0"/>
          <w:bCs w:val="0"/>
          <w:color w:val="auto"/>
          <w:sz w:val="24"/>
          <w:highlight w:val="none"/>
        </w:rPr>
        <w:t>。</w:t>
      </w:r>
    </w:p>
    <w:p w14:paraId="3241B274">
      <w:pPr>
        <w:spacing w:line="480" w:lineRule="exact"/>
        <w:ind w:firstLine="562" w:firstLineChars="200"/>
        <w:outlineLvl w:val="1"/>
        <w:rPr>
          <w:rFonts w:hint="eastAsia"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8"/>
          <w:highlight w:val="none"/>
          <w:lang w:val="en-US" w:eastAsia="zh-CN"/>
        </w:rPr>
        <w:t>三、货物清单及技术规范</w:t>
      </w:r>
    </w:p>
    <w:p w14:paraId="063D1145">
      <w:pPr>
        <w:spacing w:line="400" w:lineRule="exact"/>
        <w:ind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（一）货物清单</w:t>
      </w:r>
    </w:p>
    <w:tbl>
      <w:tblPr>
        <w:tblStyle w:val="4"/>
        <w:tblW w:w="915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31"/>
        <w:gridCol w:w="1446"/>
        <w:gridCol w:w="829"/>
        <w:gridCol w:w="1086"/>
        <w:gridCol w:w="1048"/>
        <w:gridCol w:w="880"/>
        <w:gridCol w:w="705"/>
        <w:gridCol w:w="735"/>
      </w:tblGrid>
      <w:tr w14:paraId="5DFC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150" w:type="dxa"/>
            <w:gridSpan w:val="9"/>
            <w:tcBorders>
              <w:tl2br w:val="nil"/>
              <w:tr2bl w:val="nil"/>
            </w:tcBorders>
            <w:noWrap w:val="0"/>
            <w:vAlign w:val="center"/>
          </w:tcPr>
          <w:p w14:paraId="3C285432">
            <w:pPr>
              <w:tabs>
                <w:tab w:val="left" w:pos="1169"/>
              </w:tabs>
              <w:jc w:val="left"/>
              <w:rPr>
                <w:rFonts w:hint="default" w:ascii="Times New Roman" w:hAnsi="Times New Roman" w:cs="Times New Roman"/>
                <w:b/>
                <w:bCs/>
                <w:color w:val="auto"/>
                <w:lang w:val="en-US"/>
              </w:rPr>
            </w:pPr>
            <w:r>
              <w:rPr>
                <w:rFonts w:hint="eastAsia" w:ascii="Times New Roman" w:hAnsi="Times New Roman" w:cs="Times New Roman"/>
                <w:b/>
                <w:bCs/>
                <w:color w:val="auto"/>
                <w:lang w:val="en-US" w:eastAsia="zh-CN"/>
              </w:rPr>
              <w:t>一、电梯（17部）</w:t>
            </w:r>
          </w:p>
        </w:tc>
      </w:tr>
      <w:tr w14:paraId="3260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21" w:type="dxa"/>
            <w:gridSpan w:val="2"/>
            <w:tcBorders>
              <w:tl2br w:val="nil"/>
              <w:tr2bl w:val="nil"/>
            </w:tcBorders>
            <w:noWrap w:val="0"/>
            <w:vAlign w:val="center"/>
          </w:tcPr>
          <w:p w14:paraId="7C42FB79">
            <w:pPr>
              <w:jc w:val="left"/>
              <w:rPr>
                <w:rFonts w:ascii="Times New Roman" w:hAnsi="Times New Roman" w:cs="Times New Roman"/>
                <w:color w:val="auto"/>
              </w:rPr>
            </w:pPr>
            <w:r>
              <w:rPr>
                <w:rFonts w:hint="eastAsia" w:ascii="Times New Roman" w:hAnsi="Times New Roman" w:eastAsia="宋体" w:cs="Times New Roman"/>
                <w:color w:val="auto"/>
              </w:rPr>
              <w:t>产</w:t>
            </w:r>
            <w:r>
              <w:rPr>
                <w:rFonts w:ascii="Times New Roman" w:hAnsi="Times New Roman" w:eastAsia="宋体" w:cs="Times New Roman"/>
                <w:color w:val="auto"/>
              </w:rPr>
              <w:t>品名称</w:t>
            </w:r>
          </w:p>
        </w:tc>
        <w:tc>
          <w:tcPr>
            <w:tcW w:w="6729" w:type="dxa"/>
            <w:gridSpan w:val="7"/>
            <w:tcBorders>
              <w:tl2br w:val="nil"/>
              <w:tr2bl w:val="nil"/>
            </w:tcBorders>
            <w:noWrap w:val="0"/>
            <w:vAlign w:val="center"/>
          </w:tcPr>
          <w:p w14:paraId="42FDFE38">
            <w:pPr>
              <w:jc w:val="left"/>
              <w:rPr>
                <w:rFonts w:ascii="Times New Roman" w:hAnsi="Times New Roman" w:cs="Times New Roman"/>
                <w:color w:val="auto"/>
              </w:rPr>
            </w:pPr>
            <w:r>
              <w:rPr>
                <w:rFonts w:ascii="Times New Roman" w:hAnsi="Times New Roman" w:cs="Times New Roman"/>
                <w:color w:val="auto"/>
              </w:rPr>
              <w:t>有机房乘客电梯</w:t>
            </w:r>
          </w:p>
        </w:tc>
      </w:tr>
      <w:tr w14:paraId="6D7F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21" w:type="dxa"/>
            <w:gridSpan w:val="2"/>
            <w:tcBorders>
              <w:tl2br w:val="nil"/>
              <w:tr2bl w:val="nil"/>
            </w:tcBorders>
            <w:noWrap w:val="0"/>
            <w:vAlign w:val="center"/>
          </w:tcPr>
          <w:p w14:paraId="24E5D446">
            <w:pPr>
              <w:jc w:val="left"/>
              <w:rPr>
                <w:rFonts w:ascii="Times New Roman" w:hAnsi="Times New Roman" w:cs="Times New Roman"/>
                <w:color w:val="auto"/>
              </w:rPr>
            </w:pPr>
            <w:r>
              <w:rPr>
                <w:rFonts w:ascii="Times New Roman" w:hAnsi="Times New Roman" w:cs="Times New Roman"/>
                <w:color w:val="auto"/>
              </w:rPr>
              <w:t>额定载重(kg)</w:t>
            </w:r>
          </w:p>
        </w:tc>
        <w:tc>
          <w:tcPr>
            <w:tcW w:w="6729" w:type="dxa"/>
            <w:gridSpan w:val="7"/>
            <w:tcBorders>
              <w:tl2br w:val="nil"/>
              <w:tr2bl w:val="nil"/>
            </w:tcBorders>
            <w:noWrap w:val="0"/>
            <w:vAlign w:val="center"/>
          </w:tcPr>
          <w:p w14:paraId="18877F35">
            <w:pPr>
              <w:jc w:val="left"/>
              <w:rPr>
                <w:rFonts w:ascii="Times New Roman" w:hAnsi="Times New Roman" w:cs="Times New Roman"/>
                <w:color w:val="auto"/>
              </w:rPr>
            </w:pPr>
            <w:r>
              <w:rPr>
                <w:rFonts w:hint="eastAsia" w:ascii="Times New Roman" w:hAnsi="Times New Roman" w:cs="Times New Roman"/>
                <w:color w:val="auto"/>
              </w:rPr>
              <w:t>★</w:t>
            </w:r>
            <w:r>
              <w:rPr>
                <w:rFonts w:hint="eastAsia" w:ascii="Times New Roman" w:hAnsi="Times New Roman" w:cs="Times New Roman"/>
                <w:color w:val="auto"/>
                <w:lang w:val="en-US" w:eastAsia="zh-CN"/>
              </w:rPr>
              <w:t>1000kg</w:t>
            </w:r>
          </w:p>
        </w:tc>
      </w:tr>
      <w:tr w14:paraId="232D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21" w:type="dxa"/>
            <w:gridSpan w:val="2"/>
            <w:tcBorders>
              <w:tl2br w:val="nil"/>
              <w:tr2bl w:val="nil"/>
            </w:tcBorders>
            <w:noWrap w:val="0"/>
            <w:vAlign w:val="center"/>
          </w:tcPr>
          <w:p w14:paraId="01DC8523">
            <w:pPr>
              <w:jc w:val="left"/>
              <w:rPr>
                <w:rFonts w:ascii="Times New Roman" w:hAnsi="Times New Roman" w:cs="Times New Roman"/>
                <w:color w:val="auto"/>
              </w:rPr>
            </w:pPr>
            <w:r>
              <w:rPr>
                <w:rFonts w:hint="eastAsia" w:ascii="宋体" w:hAnsi="宋体" w:eastAsia="宋体" w:cs="宋体"/>
                <w:i w:val="0"/>
                <w:iCs w:val="0"/>
                <w:color w:val="auto"/>
                <w:kern w:val="0"/>
                <w:sz w:val="22"/>
                <w:szCs w:val="22"/>
                <w:u w:val="none"/>
                <w:lang w:val="en-US" w:eastAsia="zh-CN" w:bidi="ar"/>
              </w:rPr>
              <w:t>额定速度(m/s)</w:t>
            </w:r>
          </w:p>
        </w:tc>
        <w:tc>
          <w:tcPr>
            <w:tcW w:w="6729" w:type="dxa"/>
            <w:gridSpan w:val="7"/>
            <w:tcBorders>
              <w:tl2br w:val="nil"/>
              <w:tr2bl w:val="nil"/>
            </w:tcBorders>
            <w:noWrap w:val="0"/>
            <w:vAlign w:val="center"/>
          </w:tcPr>
          <w:p w14:paraId="5E40D939">
            <w:pPr>
              <w:jc w:val="left"/>
              <w:rPr>
                <w:rFonts w:hint="default" w:ascii="Times New Roman" w:hAnsi="Times New Roman" w:cs="Times New Roman"/>
                <w:color w:val="auto"/>
                <w:lang w:val="en-US" w:eastAsia="zh-CN"/>
              </w:rPr>
            </w:pPr>
            <w:r>
              <w:rPr>
                <w:rFonts w:hint="eastAsia" w:ascii="Times New Roman" w:hAnsi="Times New Roman" w:cs="Times New Roman"/>
                <w:color w:val="auto"/>
              </w:rPr>
              <w:t>★</w:t>
            </w:r>
            <w:r>
              <w:rPr>
                <w:rFonts w:hint="eastAsia" w:ascii="Times New Roman" w:hAnsi="Times New Roman" w:cs="Times New Roman"/>
                <w:color w:val="auto"/>
                <w:lang w:val="en-US" w:eastAsia="zh-CN"/>
              </w:rPr>
              <w:t>1.5</w:t>
            </w:r>
          </w:p>
        </w:tc>
      </w:tr>
      <w:tr w14:paraId="55C0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21" w:type="dxa"/>
            <w:gridSpan w:val="2"/>
            <w:tcBorders>
              <w:tl2br w:val="nil"/>
              <w:tr2bl w:val="nil"/>
            </w:tcBorders>
            <w:noWrap w:val="0"/>
            <w:vAlign w:val="center"/>
          </w:tcPr>
          <w:p w14:paraId="0A5167BF">
            <w:pPr>
              <w:jc w:val="left"/>
              <w:rPr>
                <w:rFonts w:ascii="Times New Roman" w:hAnsi="Times New Roman" w:cs="Times New Roman"/>
                <w:color w:val="auto"/>
              </w:rPr>
            </w:pPr>
            <w:r>
              <w:rPr>
                <w:rFonts w:ascii="Times New Roman" w:hAnsi="Times New Roman" w:cs="Times New Roman"/>
                <w:color w:val="auto"/>
              </w:rPr>
              <w:t>台   数</w:t>
            </w:r>
          </w:p>
        </w:tc>
        <w:tc>
          <w:tcPr>
            <w:tcW w:w="6729" w:type="dxa"/>
            <w:gridSpan w:val="7"/>
            <w:tcBorders>
              <w:tl2br w:val="nil"/>
              <w:tr2bl w:val="nil"/>
            </w:tcBorders>
            <w:noWrap w:val="0"/>
            <w:vAlign w:val="center"/>
          </w:tcPr>
          <w:p w14:paraId="691878AF">
            <w:pPr>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17</w:t>
            </w:r>
            <w:r>
              <w:rPr>
                <w:rFonts w:hint="eastAsia" w:cs="Times New Roman"/>
                <w:color w:val="auto"/>
                <w:lang w:val="en-US" w:eastAsia="zh-CN"/>
              </w:rPr>
              <w:t>台</w:t>
            </w:r>
          </w:p>
        </w:tc>
      </w:tr>
      <w:tr w14:paraId="41C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421" w:type="dxa"/>
            <w:gridSpan w:val="2"/>
            <w:tcBorders>
              <w:tl2br w:val="nil"/>
              <w:tr2bl w:val="nil"/>
            </w:tcBorders>
            <w:noWrap w:val="0"/>
            <w:vAlign w:val="center"/>
          </w:tcPr>
          <w:p w14:paraId="73859149">
            <w:pPr>
              <w:rPr>
                <w:rFonts w:ascii="Times New Roman" w:hAnsi="Times New Roman" w:eastAsia="宋体" w:cs="Times New Roman"/>
                <w:color w:val="auto"/>
                <w:lang w:eastAsia="zh-CN"/>
              </w:rPr>
            </w:pPr>
            <w:r>
              <w:rPr>
                <w:rFonts w:ascii="Times New Roman" w:hAnsi="Times New Roman" w:eastAsia="宋体" w:cs="Times New Roman"/>
                <w:color w:val="auto"/>
                <w:lang w:eastAsia="zh-CN"/>
              </w:rPr>
              <w:t>停站层数（层/站/门）</w:t>
            </w:r>
          </w:p>
        </w:tc>
        <w:tc>
          <w:tcPr>
            <w:tcW w:w="6729" w:type="dxa"/>
            <w:gridSpan w:val="7"/>
            <w:tcBorders>
              <w:tl2br w:val="nil"/>
              <w:tr2bl w:val="nil"/>
            </w:tcBorders>
            <w:noWrap w:val="0"/>
            <w:vAlign w:val="center"/>
          </w:tcPr>
          <w:p w14:paraId="0AEC9103">
            <w:pPr>
              <w:jc w:val="left"/>
              <w:rPr>
                <w:rFonts w:ascii="Times New Roman" w:hAnsi="Times New Roman" w:cs="Times New Roman"/>
                <w:color w:val="auto"/>
              </w:rPr>
            </w:pPr>
            <w:r>
              <w:rPr>
                <w:rFonts w:hint="eastAsia" w:ascii="Times New Roman" w:hAnsi="Times New Roman" w:cs="Times New Roman"/>
                <w:color w:val="auto"/>
              </w:rPr>
              <w:t>★</w:t>
            </w:r>
            <w:r>
              <w:rPr>
                <w:rFonts w:ascii="Times New Roman" w:hAnsi="Times New Roman" w:cs="Times New Roman"/>
                <w:color w:val="auto"/>
              </w:rPr>
              <w:t>1</w:t>
            </w:r>
            <w:r>
              <w:rPr>
                <w:rFonts w:hint="eastAsia" w:ascii="Times New Roman" w:hAnsi="Times New Roman" w:cs="Times New Roman"/>
                <w:color w:val="auto"/>
                <w:lang w:val="en-US" w:eastAsia="zh-CN"/>
              </w:rPr>
              <w:t>1</w:t>
            </w:r>
            <w:r>
              <w:rPr>
                <w:rFonts w:hint="eastAsia" w:ascii="Times New Roman" w:hAnsi="Times New Roman" w:cs="Times New Roman"/>
                <w:color w:val="auto"/>
              </w:rPr>
              <w:t>层</w:t>
            </w:r>
            <w:r>
              <w:rPr>
                <w:rFonts w:ascii="Times New Roman" w:hAnsi="Times New Roman" w:cs="Times New Roman"/>
                <w:color w:val="auto"/>
              </w:rPr>
              <w:t>1</w:t>
            </w:r>
            <w:r>
              <w:rPr>
                <w:rFonts w:hint="eastAsia" w:ascii="Times New Roman" w:hAnsi="Times New Roman" w:cs="Times New Roman"/>
                <w:color w:val="auto"/>
                <w:lang w:val="en-US" w:eastAsia="zh-CN"/>
              </w:rPr>
              <w:t>1</w:t>
            </w:r>
            <w:r>
              <w:rPr>
                <w:rFonts w:hint="eastAsia" w:ascii="Times New Roman" w:hAnsi="Times New Roman" w:cs="Times New Roman"/>
                <w:color w:val="auto"/>
              </w:rPr>
              <w:t>站</w:t>
            </w:r>
            <w:r>
              <w:rPr>
                <w:rFonts w:ascii="Times New Roman" w:hAnsi="Times New Roman" w:cs="Times New Roman"/>
                <w:color w:val="auto"/>
              </w:rPr>
              <w:t>1</w:t>
            </w:r>
            <w:r>
              <w:rPr>
                <w:rFonts w:hint="eastAsia" w:ascii="Times New Roman" w:hAnsi="Times New Roman" w:cs="Times New Roman"/>
                <w:color w:val="auto"/>
                <w:lang w:val="en-US" w:eastAsia="zh-CN"/>
              </w:rPr>
              <w:t>1</w:t>
            </w:r>
            <w:r>
              <w:rPr>
                <w:rFonts w:hint="eastAsia" w:ascii="Times New Roman" w:hAnsi="Times New Roman" w:cs="Times New Roman"/>
                <w:color w:val="auto"/>
              </w:rPr>
              <w:t>门</w:t>
            </w:r>
          </w:p>
        </w:tc>
      </w:tr>
      <w:tr w14:paraId="264D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21" w:type="dxa"/>
            <w:gridSpan w:val="2"/>
            <w:tcBorders>
              <w:tl2br w:val="nil"/>
              <w:tr2bl w:val="nil"/>
            </w:tcBorders>
            <w:noWrap w:val="0"/>
            <w:vAlign w:val="center"/>
          </w:tcPr>
          <w:p w14:paraId="55EE1ACE">
            <w:pPr>
              <w:rPr>
                <w:rFonts w:ascii="Times New Roman" w:hAnsi="Times New Roman" w:eastAsia="宋体" w:cs="Times New Roman"/>
                <w:color w:val="auto"/>
                <w:lang w:eastAsia="zh-CN"/>
              </w:rPr>
            </w:pPr>
            <w:r>
              <w:rPr>
                <w:rFonts w:ascii="Times New Roman" w:hAnsi="Times New Roman" w:eastAsia="宋体" w:cs="Times New Roman"/>
                <w:color w:val="auto"/>
                <w:lang w:eastAsia="zh-CN"/>
              </w:rPr>
              <w:t>提升高度(m)</w:t>
            </w:r>
          </w:p>
        </w:tc>
        <w:tc>
          <w:tcPr>
            <w:tcW w:w="6729" w:type="dxa"/>
            <w:gridSpan w:val="7"/>
            <w:tcBorders>
              <w:tl2br w:val="nil"/>
              <w:tr2bl w:val="nil"/>
            </w:tcBorders>
            <w:noWrap w:val="0"/>
            <w:vAlign w:val="center"/>
          </w:tcPr>
          <w:p w14:paraId="4AAD2E11">
            <w:pPr>
              <w:jc w:val="left"/>
              <w:rPr>
                <w:rFonts w:ascii="Times New Roman" w:hAnsi="Times New Roman" w:cs="Times New Roman"/>
                <w:color w:val="auto"/>
              </w:rPr>
            </w:pPr>
            <w:r>
              <w:rPr>
                <w:rFonts w:ascii="Times New Roman" w:hAnsi="Times New Roman" w:cs="Times New Roman"/>
                <w:color w:val="auto"/>
              </w:rPr>
              <w:t>以现场实际测量为准</w:t>
            </w:r>
          </w:p>
        </w:tc>
      </w:tr>
      <w:tr w14:paraId="0CC0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21" w:type="dxa"/>
            <w:gridSpan w:val="2"/>
            <w:tcBorders>
              <w:tl2br w:val="nil"/>
              <w:tr2bl w:val="nil"/>
            </w:tcBorders>
            <w:noWrap w:val="0"/>
            <w:vAlign w:val="center"/>
          </w:tcPr>
          <w:p w14:paraId="53728A43">
            <w:pPr>
              <w:rPr>
                <w:rFonts w:ascii="Times New Roman" w:hAnsi="Times New Roman" w:eastAsia="宋体" w:cs="Times New Roman"/>
                <w:color w:val="auto"/>
                <w:lang w:eastAsia="zh-CN"/>
              </w:rPr>
            </w:pPr>
            <w:r>
              <w:rPr>
                <w:rFonts w:ascii="Times New Roman" w:hAnsi="Times New Roman" w:eastAsia="宋体" w:cs="Times New Roman"/>
                <w:color w:val="auto"/>
                <w:lang w:eastAsia="zh-CN"/>
              </w:rPr>
              <w:t>层高（mm）</w:t>
            </w:r>
          </w:p>
        </w:tc>
        <w:tc>
          <w:tcPr>
            <w:tcW w:w="6729" w:type="dxa"/>
            <w:gridSpan w:val="7"/>
            <w:tcBorders>
              <w:tl2br w:val="nil"/>
              <w:tr2bl w:val="nil"/>
            </w:tcBorders>
            <w:noWrap w:val="0"/>
            <w:vAlign w:val="center"/>
          </w:tcPr>
          <w:p w14:paraId="77C8F083">
            <w:pPr>
              <w:jc w:val="left"/>
              <w:rPr>
                <w:rFonts w:ascii="Times New Roman" w:hAnsi="Times New Roman" w:cs="Times New Roman"/>
                <w:color w:val="auto"/>
              </w:rPr>
            </w:pPr>
            <w:r>
              <w:rPr>
                <w:rFonts w:ascii="Times New Roman" w:hAnsi="Times New Roman" w:cs="Times New Roman"/>
                <w:color w:val="auto"/>
              </w:rPr>
              <w:t>以现场实际测量为准</w:t>
            </w:r>
          </w:p>
        </w:tc>
      </w:tr>
      <w:tr w14:paraId="5284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21" w:type="dxa"/>
            <w:gridSpan w:val="2"/>
            <w:tcBorders>
              <w:tl2br w:val="nil"/>
              <w:tr2bl w:val="nil"/>
            </w:tcBorders>
            <w:noWrap w:val="0"/>
            <w:vAlign w:val="center"/>
          </w:tcPr>
          <w:p w14:paraId="4CDB4AD9">
            <w:pPr>
              <w:rPr>
                <w:rFonts w:ascii="Times New Roman" w:hAnsi="Times New Roman" w:eastAsia="宋体" w:cs="Times New Roman"/>
                <w:color w:val="auto"/>
                <w:lang w:eastAsia="zh-CN"/>
              </w:rPr>
            </w:pPr>
            <w:r>
              <w:rPr>
                <w:rFonts w:ascii="Times New Roman" w:hAnsi="Times New Roman" w:eastAsia="宋体" w:cs="Times New Roman"/>
                <w:color w:val="auto"/>
                <w:lang w:eastAsia="zh-CN"/>
              </w:rPr>
              <w:t>运行控制</w:t>
            </w:r>
          </w:p>
        </w:tc>
        <w:tc>
          <w:tcPr>
            <w:tcW w:w="6729" w:type="dxa"/>
            <w:gridSpan w:val="7"/>
            <w:tcBorders>
              <w:tl2br w:val="nil"/>
              <w:tr2bl w:val="nil"/>
            </w:tcBorders>
            <w:noWrap w:val="0"/>
            <w:vAlign w:val="center"/>
          </w:tcPr>
          <w:p w14:paraId="6DD28DF5">
            <w:pPr>
              <w:jc w:val="left"/>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单控</w:t>
            </w:r>
          </w:p>
        </w:tc>
      </w:tr>
      <w:tr w14:paraId="778F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21" w:type="dxa"/>
            <w:gridSpan w:val="2"/>
            <w:tcBorders>
              <w:tl2br w:val="nil"/>
              <w:tr2bl w:val="nil"/>
            </w:tcBorders>
            <w:noWrap w:val="0"/>
            <w:vAlign w:val="center"/>
          </w:tcPr>
          <w:p w14:paraId="6C9755DA">
            <w:pP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轿厢尺寸</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宽</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深</w:t>
            </w:r>
            <w:r>
              <w:rPr>
                <w:rFonts w:ascii="Times New Roman" w:hAnsi="Times New Roman" w:eastAsia="宋体" w:cs="Times New Roman"/>
                <w:color w:val="auto"/>
                <w:lang w:eastAsia="zh-CN"/>
              </w:rPr>
              <w:t xml:space="preserve"> (mm)</w:t>
            </w:r>
          </w:p>
        </w:tc>
        <w:tc>
          <w:tcPr>
            <w:tcW w:w="6729" w:type="dxa"/>
            <w:gridSpan w:val="7"/>
            <w:tcBorders>
              <w:tl2br w:val="nil"/>
              <w:tr2bl w:val="nil"/>
            </w:tcBorders>
            <w:noWrap w:val="0"/>
            <w:vAlign w:val="center"/>
          </w:tcPr>
          <w:p w14:paraId="2CF09EA3">
            <w:pPr>
              <w:ind w:firstLine="105" w:firstLineChars="50"/>
              <w:jc w:val="left"/>
              <w:rPr>
                <w:rFonts w:ascii="Times New Roman" w:hAnsi="Times New Roman" w:eastAsia="宋体" w:cs="Times New Roman"/>
                <w:color w:val="auto"/>
                <w:lang w:eastAsia="zh-CN"/>
              </w:rPr>
            </w:pPr>
            <w:r>
              <w:rPr>
                <w:rFonts w:ascii="Times New Roman" w:hAnsi="Times New Roman" w:cs="Times New Roman"/>
                <w:color w:val="auto"/>
                <w:lang w:eastAsia="zh-CN"/>
              </w:rPr>
              <w:t>1400*1350</w:t>
            </w:r>
            <w:r>
              <w:rPr>
                <w:rFonts w:hint="eastAsia" w:ascii="Times New Roman" w:hAnsi="Times New Roman" w:eastAsia="宋体" w:cs="Times New Roman"/>
                <w:color w:val="auto"/>
                <w:lang w:eastAsia="zh-CN"/>
              </w:rPr>
              <w:t>（最小</w:t>
            </w:r>
            <w:r>
              <w:rPr>
                <w:rFonts w:ascii="Cambria Math" w:hAnsi="Cambria Math" w:eastAsia="宋体" w:cs="Times New Roman"/>
                <w:color w:val="auto"/>
                <w:lang w:eastAsia="zh-CN"/>
              </w:rPr>
              <w:t>尺寸要求，</w:t>
            </w:r>
            <w:r>
              <w:rPr>
                <w:rFonts w:hint="eastAsia" w:ascii="Cambria Math" w:hAnsi="Cambria Math" w:eastAsia="宋体" w:cs="Times New Roman"/>
                <w:color w:val="auto"/>
                <w:lang w:eastAsia="zh-CN"/>
              </w:rPr>
              <w:t>根据</w:t>
            </w:r>
            <w:r>
              <w:rPr>
                <w:rFonts w:ascii="Cambria Math" w:hAnsi="Cambria Math" w:eastAsia="宋体" w:cs="Times New Roman"/>
                <w:color w:val="auto"/>
                <w:lang w:eastAsia="zh-CN"/>
              </w:rPr>
              <w:t>实际井道尺寸，</w:t>
            </w:r>
            <w:r>
              <w:rPr>
                <w:rFonts w:hint="eastAsia" w:ascii="Cambria Math" w:hAnsi="Cambria Math" w:eastAsia="宋体" w:cs="Times New Roman"/>
                <w:color w:val="auto"/>
                <w:lang w:eastAsia="zh-CN"/>
              </w:rPr>
              <w:t>大于</w:t>
            </w:r>
            <w:r>
              <w:rPr>
                <w:rFonts w:ascii="Cambria Math" w:hAnsi="Cambria Math" w:eastAsia="宋体" w:cs="Times New Roman"/>
                <w:color w:val="auto"/>
                <w:lang w:eastAsia="zh-CN"/>
              </w:rPr>
              <w:t>此尺寸为</w:t>
            </w:r>
            <w:r>
              <w:rPr>
                <w:rFonts w:hint="eastAsia" w:ascii="Cambria Math" w:hAnsi="Cambria Math" w:eastAsia="宋体" w:cs="Times New Roman"/>
                <w:color w:val="auto"/>
                <w:lang w:eastAsia="zh-CN"/>
              </w:rPr>
              <w:t>优</w:t>
            </w:r>
            <w:r>
              <w:rPr>
                <w:rFonts w:ascii="Times New Roman" w:hAnsi="Times New Roman" w:eastAsia="宋体" w:cs="Times New Roman"/>
                <w:color w:val="auto"/>
                <w:lang w:eastAsia="zh-CN"/>
              </w:rPr>
              <w:t>）</w:t>
            </w:r>
          </w:p>
        </w:tc>
      </w:tr>
      <w:tr w14:paraId="7C64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421" w:type="dxa"/>
            <w:gridSpan w:val="2"/>
            <w:tcBorders>
              <w:tl2br w:val="nil"/>
              <w:tr2bl w:val="nil"/>
            </w:tcBorders>
            <w:noWrap w:val="0"/>
            <w:vAlign w:val="center"/>
          </w:tcPr>
          <w:p w14:paraId="5A014089">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轿厢净高</w:t>
            </w:r>
            <w:r>
              <w:rPr>
                <w:rFonts w:ascii="Times New Roman" w:hAnsi="Times New Roman" w:eastAsia="宋体" w:cs="Times New Roman"/>
                <w:color w:val="auto"/>
                <w:lang w:eastAsia="zh-CN"/>
              </w:rPr>
              <w:t>(mm)</w:t>
            </w:r>
          </w:p>
        </w:tc>
        <w:tc>
          <w:tcPr>
            <w:tcW w:w="6729" w:type="dxa"/>
            <w:gridSpan w:val="7"/>
            <w:tcBorders>
              <w:tl2br w:val="nil"/>
              <w:tr2bl w:val="nil"/>
            </w:tcBorders>
            <w:noWrap w:val="0"/>
            <w:vAlign w:val="center"/>
          </w:tcPr>
          <w:p w14:paraId="753D4F77">
            <w:pPr>
              <w:ind w:firstLine="105" w:firstLineChars="50"/>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2300</w:t>
            </w:r>
          </w:p>
        </w:tc>
      </w:tr>
      <w:tr w14:paraId="19D2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21" w:type="dxa"/>
            <w:gridSpan w:val="2"/>
            <w:tcBorders>
              <w:tl2br w:val="nil"/>
              <w:tr2bl w:val="nil"/>
            </w:tcBorders>
            <w:noWrap w:val="0"/>
            <w:vAlign w:val="center"/>
          </w:tcPr>
          <w:p w14:paraId="21FABD48">
            <w:pPr>
              <w:rPr>
                <w:rFonts w:ascii="Times New Roman" w:hAnsi="Times New Roman" w:cs="Times New Roman"/>
                <w:color w:val="auto"/>
              </w:rPr>
            </w:pPr>
            <w:r>
              <w:rPr>
                <w:rFonts w:ascii="Times New Roman" w:hAnsi="Times New Roman" w:cs="Times New Roman"/>
                <w:color w:val="auto"/>
              </w:rPr>
              <w:t>开门尺寸(mm)</w:t>
            </w:r>
          </w:p>
        </w:tc>
        <w:tc>
          <w:tcPr>
            <w:tcW w:w="6729" w:type="dxa"/>
            <w:gridSpan w:val="7"/>
            <w:tcBorders>
              <w:tl2br w:val="nil"/>
              <w:tr2bl w:val="nil"/>
            </w:tcBorders>
            <w:noWrap w:val="0"/>
            <w:vAlign w:val="center"/>
          </w:tcPr>
          <w:p w14:paraId="097F78D9">
            <w:pPr>
              <w:rPr>
                <w:rFonts w:ascii="Times New Roman" w:hAnsi="Times New Roman" w:cs="Times New Roman"/>
                <w:color w:val="auto"/>
                <w:lang w:eastAsia="zh-CN"/>
              </w:rPr>
            </w:pPr>
            <w:r>
              <w:rPr>
                <w:rFonts w:hint="eastAsia" w:ascii="Times New Roman" w:hAnsi="Times New Roman" w:cs="Times New Roman"/>
                <w:color w:val="auto"/>
                <w:lang w:val="en-US" w:eastAsia="zh-CN"/>
              </w:rPr>
              <w:t>清单序号1-3电梯</w:t>
            </w:r>
            <w:r>
              <w:rPr>
                <w:rFonts w:hint="eastAsia" w:ascii="Times New Roman" w:hAnsi="Times New Roman" w:eastAsia="宋体" w:cs="Times New Roman"/>
                <w:color w:val="auto"/>
                <w:lang w:eastAsia="zh-CN"/>
              </w:rPr>
              <w:t>轿门</w:t>
            </w:r>
            <w:r>
              <w:rPr>
                <w:rFonts w:ascii="Times New Roman" w:hAnsi="Times New Roman" w:eastAsia="宋体" w:cs="Times New Roman"/>
                <w:color w:val="auto"/>
                <w:lang w:eastAsia="zh-CN"/>
              </w:rPr>
              <w:t>高度</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lang w:eastAsia="zh-CN"/>
              </w:rPr>
              <w:t>00</w:t>
            </w:r>
            <w:r>
              <w:rPr>
                <w:rFonts w:ascii="Times New Roman" w:hAnsi="Times New Roman" w:eastAsia="宋体" w:cs="Times New Roman"/>
                <w:color w:val="auto"/>
                <w:lang w:eastAsia="zh-CN"/>
              </w:rPr>
              <w:t>*2100</w:t>
            </w:r>
            <w:r>
              <w:rPr>
                <w:rFonts w:hint="eastAsia" w:ascii="Times New Roman" w:hAnsi="Times New Roman" w:eastAsia="宋体" w:cs="Times New Roman"/>
                <w:color w:val="auto"/>
                <w:lang w:eastAsia="zh-CN"/>
              </w:rPr>
              <w:t>，</w:t>
            </w:r>
            <w:r>
              <w:rPr>
                <w:rFonts w:hint="eastAsia" w:ascii="Times New Roman" w:hAnsi="Times New Roman" w:cs="Times New Roman"/>
                <w:color w:val="auto"/>
                <w:lang w:val="en-US" w:eastAsia="zh-CN"/>
              </w:rPr>
              <w:t>清单序号4-17电梯</w:t>
            </w:r>
            <w:r>
              <w:rPr>
                <w:rFonts w:hint="eastAsia" w:ascii="Times New Roman" w:hAnsi="Times New Roman" w:eastAsia="宋体" w:cs="Times New Roman"/>
                <w:color w:val="auto"/>
                <w:lang w:eastAsia="zh-CN"/>
              </w:rPr>
              <w:t>轿门</w:t>
            </w:r>
            <w:r>
              <w:rPr>
                <w:rFonts w:ascii="Times New Roman" w:hAnsi="Times New Roman" w:eastAsia="宋体" w:cs="Times New Roman"/>
                <w:color w:val="auto"/>
                <w:lang w:eastAsia="zh-CN"/>
              </w:rPr>
              <w:t>高度</w:t>
            </w:r>
            <w:r>
              <w:rPr>
                <w:rFonts w:hint="eastAsia" w:ascii="Times New Roman" w:hAnsi="Times New Roman" w:eastAsia="宋体" w:cs="Times New Roman"/>
                <w:color w:val="auto"/>
                <w:lang w:eastAsia="zh-CN"/>
              </w:rPr>
              <w:t>800</w:t>
            </w:r>
            <w:r>
              <w:rPr>
                <w:rFonts w:ascii="Times New Roman" w:hAnsi="Times New Roman" w:eastAsia="宋体" w:cs="Times New Roman"/>
                <w:color w:val="auto"/>
                <w:lang w:eastAsia="zh-CN"/>
              </w:rPr>
              <w:t>*2100</w:t>
            </w:r>
          </w:p>
        </w:tc>
      </w:tr>
      <w:tr w14:paraId="47FA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21" w:type="dxa"/>
            <w:gridSpan w:val="2"/>
            <w:tcBorders>
              <w:tl2br w:val="nil"/>
              <w:tr2bl w:val="nil"/>
            </w:tcBorders>
            <w:noWrap w:val="0"/>
            <w:vAlign w:val="center"/>
          </w:tcPr>
          <w:p w14:paraId="39CFD788">
            <w:pPr>
              <w:rPr>
                <w:rFonts w:ascii="Times New Roman" w:hAnsi="Times New Roman" w:cs="Times New Roman"/>
                <w:color w:val="auto"/>
              </w:rPr>
            </w:pPr>
            <w:r>
              <w:rPr>
                <w:rFonts w:ascii="Times New Roman" w:hAnsi="Times New Roman" w:cs="Times New Roman"/>
                <w:color w:val="auto"/>
              </w:rPr>
              <w:t>井道尺寸(mm)</w:t>
            </w:r>
          </w:p>
        </w:tc>
        <w:tc>
          <w:tcPr>
            <w:tcW w:w="6729" w:type="dxa"/>
            <w:gridSpan w:val="7"/>
            <w:tcBorders>
              <w:tl2br w:val="nil"/>
              <w:tr2bl w:val="nil"/>
            </w:tcBorders>
            <w:noWrap w:val="0"/>
            <w:vAlign w:val="center"/>
          </w:tcPr>
          <w:p w14:paraId="3386D747">
            <w:pPr>
              <w:ind w:firstLine="105" w:firstLineChars="50"/>
              <w:jc w:val="left"/>
              <w:rPr>
                <w:rFonts w:ascii="Times New Roman" w:hAnsi="Times New Roman" w:cs="Times New Roman"/>
                <w:color w:val="auto"/>
              </w:rPr>
            </w:pPr>
            <w:r>
              <w:rPr>
                <w:rFonts w:ascii="Times New Roman" w:hAnsi="Times New Roman" w:cs="Times New Roman"/>
                <w:color w:val="auto"/>
              </w:rPr>
              <w:t>以现场实际测量为准</w:t>
            </w:r>
          </w:p>
        </w:tc>
      </w:tr>
      <w:tr w14:paraId="4641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21" w:type="dxa"/>
            <w:gridSpan w:val="2"/>
            <w:tcBorders>
              <w:tl2br w:val="nil"/>
              <w:tr2bl w:val="nil"/>
            </w:tcBorders>
            <w:noWrap w:val="0"/>
            <w:vAlign w:val="center"/>
          </w:tcPr>
          <w:p w14:paraId="6E1955AC">
            <w:pPr>
              <w:rPr>
                <w:rFonts w:ascii="Times New Roman" w:hAnsi="Times New Roman" w:cs="Times New Roman"/>
                <w:color w:val="auto"/>
              </w:rPr>
            </w:pPr>
            <w:r>
              <w:rPr>
                <w:rFonts w:ascii="Times New Roman" w:hAnsi="Times New Roman" w:cs="Times New Roman"/>
                <w:color w:val="auto"/>
              </w:rPr>
              <w:t>底坑深度(mm)</w:t>
            </w:r>
          </w:p>
        </w:tc>
        <w:tc>
          <w:tcPr>
            <w:tcW w:w="6729" w:type="dxa"/>
            <w:gridSpan w:val="7"/>
            <w:tcBorders>
              <w:tl2br w:val="nil"/>
              <w:tr2bl w:val="nil"/>
            </w:tcBorders>
            <w:noWrap w:val="0"/>
            <w:vAlign w:val="center"/>
          </w:tcPr>
          <w:p w14:paraId="36EFDE06">
            <w:pPr>
              <w:ind w:firstLine="105" w:firstLineChars="50"/>
              <w:jc w:val="left"/>
              <w:rPr>
                <w:rFonts w:ascii="Times New Roman" w:hAnsi="Times New Roman" w:cs="Times New Roman"/>
                <w:color w:val="auto"/>
              </w:rPr>
            </w:pPr>
            <w:r>
              <w:rPr>
                <w:rFonts w:ascii="Times New Roman" w:hAnsi="Times New Roman" w:cs="Times New Roman"/>
                <w:color w:val="auto"/>
              </w:rPr>
              <w:t>以现场实际测量为准</w:t>
            </w:r>
          </w:p>
        </w:tc>
      </w:tr>
      <w:tr w14:paraId="0914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21" w:type="dxa"/>
            <w:gridSpan w:val="2"/>
            <w:tcBorders>
              <w:tl2br w:val="nil"/>
              <w:tr2bl w:val="nil"/>
            </w:tcBorders>
            <w:noWrap w:val="0"/>
            <w:vAlign w:val="center"/>
          </w:tcPr>
          <w:p w14:paraId="26345419">
            <w:pPr>
              <w:rPr>
                <w:rFonts w:ascii="Times New Roman" w:hAnsi="Times New Roman" w:cs="Times New Roman"/>
                <w:color w:val="auto"/>
              </w:rPr>
            </w:pPr>
            <w:r>
              <w:rPr>
                <w:rFonts w:hint="eastAsia" w:ascii="Times New Roman" w:hAnsi="Times New Roman" w:eastAsia="宋体" w:cs="Times New Roman"/>
                <w:color w:val="auto"/>
                <w:lang w:eastAsia="zh-CN"/>
              </w:rPr>
              <w:t>每</w:t>
            </w:r>
            <w:r>
              <w:rPr>
                <w:rFonts w:ascii="Times New Roman" w:hAnsi="Times New Roman" w:cs="Times New Roman"/>
                <w:color w:val="auto"/>
              </w:rPr>
              <w:t>层高度(mm)</w:t>
            </w:r>
          </w:p>
        </w:tc>
        <w:tc>
          <w:tcPr>
            <w:tcW w:w="6729" w:type="dxa"/>
            <w:gridSpan w:val="7"/>
            <w:tcBorders>
              <w:tl2br w:val="nil"/>
              <w:tr2bl w:val="nil"/>
            </w:tcBorders>
            <w:noWrap w:val="0"/>
            <w:vAlign w:val="center"/>
          </w:tcPr>
          <w:p w14:paraId="2544AD93">
            <w:pPr>
              <w:ind w:firstLine="105" w:firstLineChars="50"/>
              <w:jc w:val="left"/>
              <w:rPr>
                <w:rFonts w:ascii="Times New Roman" w:hAnsi="Times New Roman" w:cs="Times New Roman"/>
                <w:color w:val="auto"/>
              </w:rPr>
            </w:pPr>
            <w:r>
              <w:rPr>
                <w:rFonts w:ascii="Times New Roman" w:hAnsi="Times New Roman" w:cs="Times New Roman"/>
                <w:color w:val="auto"/>
              </w:rPr>
              <w:t>以现场实际测量为准</w:t>
            </w:r>
          </w:p>
        </w:tc>
      </w:tr>
      <w:tr w14:paraId="19BE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90" w:type="dxa"/>
            <w:tcBorders>
              <w:tl2br w:val="nil"/>
              <w:tr2bl w:val="nil"/>
            </w:tcBorders>
            <w:noWrap/>
            <w:vAlign w:val="center"/>
          </w:tcPr>
          <w:p w14:paraId="7C8628C4">
            <w:pPr>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序号</w:t>
            </w:r>
          </w:p>
        </w:tc>
        <w:tc>
          <w:tcPr>
            <w:tcW w:w="3177" w:type="dxa"/>
            <w:gridSpan w:val="2"/>
            <w:tcBorders>
              <w:tl2br w:val="nil"/>
              <w:tr2bl w:val="nil"/>
            </w:tcBorders>
            <w:noWrap w:val="0"/>
            <w:vAlign w:val="center"/>
          </w:tcPr>
          <w:p w14:paraId="5176BA4F">
            <w:pPr>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设备使用地点</w:t>
            </w:r>
          </w:p>
        </w:tc>
        <w:tc>
          <w:tcPr>
            <w:tcW w:w="829" w:type="dxa"/>
            <w:tcBorders>
              <w:tl2br w:val="nil"/>
              <w:tr2bl w:val="nil"/>
            </w:tcBorders>
            <w:noWrap/>
            <w:vAlign w:val="center"/>
          </w:tcPr>
          <w:p w14:paraId="3A433894">
            <w:pPr>
              <w:jc w:val="lef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数量</w:t>
            </w:r>
          </w:p>
        </w:tc>
        <w:tc>
          <w:tcPr>
            <w:tcW w:w="1086" w:type="dxa"/>
            <w:tcBorders>
              <w:tl2br w:val="nil"/>
              <w:tr2bl w:val="nil"/>
            </w:tcBorders>
            <w:noWrap w:val="0"/>
            <w:vAlign w:val="center"/>
          </w:tcPr>
          <w:p w14:paraId="0CD5E8B9">
            <w:pPr>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额定载重量(kg)</w:t>
            </w:r>
          </w:p>
        </w:tc>
        <w:tc>
          <w:tcPr>
            <w:tcW w:w="1048" w:type="dxa"/>
            <w:tcBorders>
              <w:tl2br w:val="nil"/>
              <w:tr2bl w:val="nil"/>
            </w:tcBorders>
            <w:noWrap w:val="0"/>
            <w:vAlign w:val="center"/>
          </w:tcPr>
          <w:p w14:paraId="73B6B3B5">
            <w:pPr>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额定速度(m/s)</w:t>
            </w:r>
          </w:p>
        </w:tc>
        <w:tc>
          <w:tcPr>
            <w:tcW w:w="880" w:type="dxa"/>
            <w:tcBorders>
              <w:tl2br w:val="nil"/>
              <w:tr2bl w:val="nil"/>
            </w:tcBorders>
            <w:noWrap/>
            <w:vAlign w:val="center"/>
          </w:tcPr>
          <w:p w14:paraId="671781C9">
            <w:pPr>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层数</w:t>
            </w:r>
          </w:p>
        </w:tc>
        <w:tc>
          <w:tcPr>
            <w:tcW w:w="705" w:type="dxa"/>
            <w:tcBorders>
              <w:tl2br w:val="nil"/>
              <w:tr2bl w:val="nil"/>
            </w:tcBorders>
            <w:noWrap/>
            <w:vAlign w:val="center"/>
          </w:tcPr>
          <w:p w14:paraId="730A5B88">
            <w:pPr>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门数</w:t>
            </w:r>
          </w:p>
        </w:tc>
        <w:tc>
          <w:tcPr>
            <w:tcW w:w="735" w:type="dxa"/>
            <w:tcBorders>
              <w:tl2br w:val="nil"/>
              <w:tr2bl w:val="nil"/>
            </w:tcBorders>
            <w:noWrap/>
            <w:vAlign w:val="center"/>
          </w:tcPr>
          <w:p w14:paraId="3775E76D">
            <w:pPr>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站数</w:t>
            </w:r>
          </w:p>
        </w:tc>
      </w:tr>
      <w:tr w14:paraId="30A0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90" w:type="dxa"/>
            <w:tcBorders>
              <w:tl2br w:val="nil"/>
              <w:tr2bl w:val="nil"/>
            </w:tcBorders>
            <w:noWrap/>
            <w:vAlign w:val="center"/>
          </w:tcPr>
          <w:p w14:paraId="6BD6ADC9">
            <w:pPr>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c>
          <w:tcPr>
            <w:tcW w:w="3177" w:type="dxa"/>
            <w:gridSpan w:val="2"/>
            <w:tcBorders>
              <w:tl2br w:val="nil"/>
              <w:tr2bl w:val="nil"/>
            </w:tcBorders>
            <w:noWrap w:val="0"/>
            <w:vAlign w:val="center"/>
          </w:tcPr>
          <w:p w14:paraId="4BD0A44A">
            <w:pPr>
              <w:jc w:val="left"/>
              <w:rPr>
                <w:rFonts w:hint="eastAsia" w:ascii="Times New Roman" w:hAnsi="Times New Roman" w:cs="Times New Roman"/>
                <w:color w:val="auto"/>
              </w:rPr>
            </w:pPr>
            <w:r>
              <w:rPr>
                <w:rFonts w:hint="eastAsia" w:ascii="Times New Roman" w:hAnsi="Times New Roman" w:cs="Times New Roman"/>
                <w:color w:val="auto"/>
                <w:lang w:val="en-US" w:eastAsia="zh-CN"/>
              </w:rPr>
              <w:t>泗洪县</w:t>
            </w:r>
          </w:p>
        </w:tc>
        <w:tc>
          <w:tcPr>
            <w:tcW w:w="829" w:type="dxa"/>
            <w:tcBorders>
              <w:tl2br w:val="nil"/>
              <w:tr2bl w:val="nil"/>
            </w:tcBorders>
            <w:noWrap/>
            <w:vAlign w:val="center"/>
          </w:tcPr>
          <w:p w14:paraId="291A3879">
            <w:pPr>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17部</w:t>
            </w:r>
          </w:p>
        </w:tc>
        <w:tc>
          <w:tcPr>
            <w:tcW w:w="1086" w:type="dxa"/>
            <w:tcBorders>
              <w:tl2br w:val="nil"/>
              <w:tr2bl w:val="nil"/>
            </w:tcBorders>
            <w:noWrap w:val="0"/>
            <w:vAlign w:val="center"/>
          </w:tcPr>
          <w:p w14:paraId="35D6A2B0">
            <w:pPr>
              <w:jc w:val="center"/>
              <w:rPr>
                <w:rFonts w:hint="eastAsia" w:ascii="Times New Roman" w:hAnsi="Times New Roman" w:cs="Times New Roman"/>
                <w:color w:val="auto"/>
              </w:rPr>
            </w:pPr>
            <w:r>
              <w:rPr>
                <w:rFonts w:hint="eastAsia" w:ascii="Times New Roman" w:hAnsi="Times New Roman" w:cs="Times New Roman"/>
                <w:color w:val="auto"/>
                <w:lang w:val="en-US" w:eastAsia="zh-CN"/>
              </w:rPr>
              <w:t>1000</w:t>
            </w:r>
          </w:p>
        </w:tc>
        <w:tc>
          <w:tcPr>
            <w:tcW w:w="1048" w:type="dxa"/>
            <w:tcBorders>
              <w:tl2br w:val="nil"/>
              <w:tr2bl w:val="nil"/>
            </w:tcBorders>
            <w:noWrap w:val="0"/>
            <w:vAlign w:val="center"/>
          </w:tcPr>
          <w:p w14:paraId="1748C0BF">
            <w:pPr>
              <w:jc w:val="center"/>
              <w:rPr>
                <w:rFonts w:hint="eastAsia" w:ascii="Times New Roman" w:hAnsi="Times New Roman" w:cs="Times New Roman"/>
                <w:color w:val="auto"/>
              </w:rPr>
            </w:pPr>
            <w:r>
              <w:rPr>
                <w:rFonts w:hint="eastAsia" w:ascii="Times New Roman" w:hAnsi="Times New Roman" w:cs="Times New Roman"/>
                <w:color w:val="auto"/>
                <w:lang w:val="en-US" w:eastAsia="zh-CN"/>
              </w:rPr>
              <w:t>1.50</w:t>
            </w:r>
          </w:p>
        </w:tc>
        <w:tc>
          <w:tcPr>
            <w:tcW w:w="880" w:type="dxa"/>
            <w:tcBorders>
              <w:tl2br w:val="nil"/>
              <w:tr2bl w:val="nil"/>
            </w:tcBorders>
            <w:noWrap/>
            <w:vAlign w:val="center"/>
          </w:tcPr>
          <w:p w14:paraId="71B8ACE3">
            <w:pPr>
              <w:jc w:val="center"/>
              <w:rPr>
                <w:rFonts w:hint="eastAsia" w:ascii="Times New Roman" w:hAnsi="Times New Roman" w:cs="Times New Roman"/>
                <w:color w:val="auto"/>
              </w:rPr>
            </w:pPr>
            <w:r>
              <w:rPr>
                <w:rFonts w:hint="eastAsia" w:ascii="Times New Roman" w:hAnsi="Times New Roman" w:cs="Times New Roman"/>
                <w:color w:val="auto"/>
                <w:lang w:val="en-US" w:eastAsia="zh-CN"/>
              </w:rPr>
              <w:t>11</w:t>
            </w:r>
          </w:p>
        </w:tc>
        <w:tc>
          <w:tcPr>
            <w:tcW w:w="705" w:type="dxa"/>
            <w:tcBorders>
              <w:tl2br w:val="nil"/>
              <w:tr2bl w:val="nil"/>
            </w:tcBorders>
            <w:noWrap/>
            <w:vAlign w:val="center"/>
          </w:tcPr>
          <w:p w14:paraId="5E8674EF">
            <w:pPr>
              <w:jc w:val="center"/>
              <w:rPr>
                <w:rFonts w:hint="eastAsia" w:ascii="Times New Roman" w:hAnsi="Times New Roman" w:cs="Times New Roman"/>
                <w:color w:val="auto"/>
              </w:rPr>
            </w:pPr>
            <w:r>
              <w:rPr>
                <w:rFonts w:hint="eastAsia" w:ascii="Times New Roman" w:hAnsi="Times New Roman" w:cs="Times New Roman"/>
                <w:color w:val="auto"/>
                <w:lang w:val="en-US" w:eastAsia="zh-CN"/>
              </w:rPr>
              <w:t>11</w:t>
            </w:r>
          </w:p>
        </w:tc>
        <w:tc>
          <w:tcPr>
            <w:tcW w:w="735" w:type="dxa"/>
            <w:tcBorders>
              <w:tl2br w:val="nil"/>
              <w:tr2bl w:val="nil"/>
            </w:tcBorders>
            <w:noWrap/>
            <w:vAlign w:val="center"/>
          </w:tcPr>
          <w:p w14:paraId="4E4CB056">
            <w:pPr>
              <w:jc w:val="center"/>
              <w:rPr>
                <w:rFonts w:hint="eastAsia" w:ascii="Times New Roman" w:hAnsi="Times New Roman" w:cs="Times New Roman"/>
                <w:color w:val="auto"/>
              </w:rPr>
            </w:pPr>
            <w:r>
              <w:rPr>
                <w:rFonts w:hint="eastAsia" w:ascii="Times New Roman" w:hAnsi="Times New Roman" w:cs="Times New Roman"/>
                <w:color w:val="auto"/>
                <w:lang w:val="en-US" w:eastAsia="zh-CN"/>
              </w:rPr>
              <w:t>11</w:t>
            </w:r>
          </w:p>
        </w:tc>
      </w:tr>
    </w:tbl>
    <w:p w14:paraId="618A905A">
      <w:pPr>
        <w:spacing w:line="400" w:lineRule="exact"/>
        <w:ind w:firstLine="482" w:firstLineChars="200"/>
        <w:rPr>
          <w:rFonts w:hint="eastAsia" w:ascii="宋体" w:hAnsi="宋体"/>
          <w:b/>
          <w:color w:val="auto"/>
          <w:sz w:val="24"/>
          <w:szCs w:val="24"/>
          <w:highlight w:val="none"/>
          <w:lang w:eastAsia="zh-CN"/>
        </w:rPr>
      </w:pPr>
    </w:p>
    <w:p w14:paraId="6D683B12">
      <w:pPr>
        <w:numPr>
          <w:ilvl w:val="0"/>
          <w:numId w:val="1"/>
        </w:numPr>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lang w:val="en-US" w:eastAsia="zh-CN"/>
        </w:rPr>
        <w:t>电梯</w:t>
      </w:r>
      <w:r>
        <w:rPr>
          <w:rFonts w:ascii="宋体" w:hAnsi="宋体"/>
          <w:b/>
          <w:color w:val="auto"/>
          <w:sz w:val="24"/>
          <w:szCs w:val="24"/>
          <w:highlight w:val="none"/>
        </w:rPr>
        <w:t>技术要求</w:t>
      </w:r>
    </w:p>
    <w:p w14:paraId="07EB1CDA">
      <w:pPr>
        <w:pStyle w:val="9"/>
        <w:keepNext w:val="0"/>
        <w:keepLines w:val="0"/>
        <w:pageBreakBefore w:val="0"/>
        <w:tabs>
          <w:tab w:val="left" w:pos="6840"/>
        </w:tabs>
        <w:kinsoku/>
        <w:wordWrap/>
        <w:overflowPunct/>
        <w:topLinePunct w:val="0"/>
        <w:bidi w:val="0"/>
        <w:spacing w:line="360" w:lineRule="auto"/>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 xml:space="preserve">总体要求    </w:t>
      </w:r>
      <w:r>
        <w:rPr>
          <w:rFonts w:hint="eastAsia" w:ascii="宋体" w:hAnsi="宋体" w:eastAsia="宋体" w:cs="宋体"/>
          <w:b/>
          <w:color w:val="auto"/>
          <w:sz w:val="24"/>
          <w:szCs w:val="24"/>
        </w:rPr>
        <w:t xml:space="preserve">               </w:t>
      </w:r>
    </w:p>
    <w:p w14:paraId="4173F9C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提供的货物技术规格应符合货物的技术规格及要求，如果投标人不能响应招标文件技术规格和要求的某项技术规格，投标人应在技术偏离表中说明偏离情况，如果投标人不提供技术偏离表说明偏离情况，则将认为提供的货物完全符合本招标文件的要求。</w:t>
      </w:r>
    </w:p>
    <w:p w14:paraId="30B06682">
      <w:pPr>
        <w:pStyle w:val="9"/>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电梯设计使用寿命不少于20年。</w:t>
      </w:r>
    </w:p>
    <w:p w14:paraId="50C96D2C">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技术规格及参数</w:t>
      </w:r>
    </w:p>
    <w:p w14:paraId="117A9DB7">
      <w:pPr>
        <w:pStyle w:val="9"/>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投标电梯须可靠、稳定，符合设计要求和使用规范。配置按中高档电梯功能。</w:t>
      </w:r>
      <w:r>
        <w:rPr>
          <w:rFonts w:hint="eastAsia" w:ascii="宋体" w:hAnsi="宋体" w:eastAsia="宋体" w:cs="宋体"/>
          <w:bCs/>
          <w:color w:val="auto"/>
          <w:sz w:val="24"/>
          <w:szCs w:val="24"/>
        </w:rPr>
        <w:t>投标电梯在具备电梯所有基本功能的前提下，还应保证满足以下有关技术要求</w:t>
      </w:r>
      <w:r>
        <w:rPr>
          <w:rFonts w:hint="eastAsia" w:ascii="宋体" w:hAnsi="宋体" w:eastAsia="宋体" w:cs="宋体"/>
          <w:color w:val="auto"/>
          <w:sz w:val="24"/>
          <w:szCs w:val="24"/>
        </w:rPr>
        <w:t>（以下要求，除特别说明外，对每台电梯均适用）</w:t>
      </w:r>
      <w:r>
        <w:rPr>
          <w:rFonts w:hint="eastAsia" w:ascii="宋体" w:hAnsi="宋体" w:eastAsia="宋体" w:cs="宋体"/>
          <w:bCs/>
          <w:color w:val="auto"/>
          <w:sz w:val="24"/>
          <w:szCs w:val="24"/>
        </w:rPr>
        <w:t>。</w:t>
      </w:r>
    </w:p>
    <w:p w14:paraId="05BE7447">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＊1.2.1电源要求：交流三相380V，50Hz；交流单相 220V，50Hz</w:t>
      </w:r>
    </w:p>
    <w:p w14:paraId="6DD9B6AA">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＊1.2.2曳引机：</w:t>
      </w:r>
      <w:r>
        <w:rPr>
          <w:rFonts w:hint="eastAsia" w:ascii="宋体" w:hAnsi="宋体" w:eastAsia="宋体" w:cs="宋体"/>
          <w:color w:val="auto"/>
          <w:sz w:val="24"/>
          <w:szCs w:val="24"/>
          <w:lang w:eastAsia="zh-CN"/>
        </w:rPr>
        <w:t>①采用交流三相永磁同步内转子；②</w:t>
      </w:r>
      <w:r>
        <w:rPr>
          <w:rFonts w:hint="eastAsia" w:ascii="宋体" w:hAnsi="宋体" w:cs="宋体"/>
          <w:color w:val="auto"/>
          <w:sz w:val="24"/>
          <w:szCs w:val="24"/>
          <w:lang w:val="en-US" w:eastAsia="zh-CN"/>
        </w:rPr>
        <w:t>与所投电梯为同一</w:t>
      </w:r>
      <w:r>
        <w:rPr>
          <w:rFonts w:hint="eastAsia" w:ascii="宋体" w:hAnsi="宋体" w:eastAsia="宋体" w:cs="宋体"/>
          <w:color w:val="auto"/>
          <w:sz w:val="24"/>
          <w:szCs w:val="24"/>
          <w:lang w:eastAsia="zh-CN"/>
        </w:rPr>
        <w:t>品牌；③外壳防护等级IP43。（需提供</w:t>
      </w:r>
      <w:r>
        <w:rPr>
          <w:rFonts w:hint="eastAsia" w:ascii="宋体" w:hAnsi="宋体" w:eastAsia="宋体" w:cs="宋体"/>
          <w:color w:val="auto"/>
          <w:sz w:val="24"/>
          <w:szCs w:val="24"/>
          <w:lang w:val="en-US" w:eastAsia="zh-CN"/>
        </w:rPr>
        <w:t>CMA认可</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eastAsia="zh-CN"/>
        </w:rPr>
        <w:t>第三方检测机构出具的检测报告原件的扫描件上传至投标文件中）</w:t>
      </w:r>
      <w:r>
        <w:rPr>
          <w:rFonts w:hint="eastAsia" w:ascii="宋体" w:hAnsi="宋体" w:eastAsia="宋体" w:cs="宋体"/>
          <w:color w:val="auto"/>
          <w:sz w:val="24"/>
          <w:szCs w:val="24"/>
          <w:lang w:val="en-US" w:eastAsia="zh-CN"/>
        </w:rPr>
        <w:t xml:space="preserve"> </w:t>
      </w:r>
    </w:p>
    <w:p w14:paraId="2742EFEB">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曳引机制动器</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动作寿命达到1800万次及以上；（需提供经CMA认可的第三方检测机构出具的检测报告原件的扫描件上传至投标文件中）</w:t>
      </w:r>
    </w:p>
    <w:p w14:paraId="6CCAA09A">
      <w:pPr>
        <w:pStyle w:val="9"/>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＊1.2.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拖动系统：全电脑控制，</w:t>
      </w:r>
      <w:r>
        <w:rPr>
          <w:rFonts w:hint="eastAsia" w:ascii="宋体" w:hAnsi="宋体" w:eastAsia="宋体" w:cs="宋体"/>
          <w:color w:val="auto"/>
          <w:kern w:val="0"/>
          <w:sz w:val="24"/>
          <w:szCs w:val="24"/>
        </w:rPr>
        <w:t>曳引机采用交流变频变压变速方式驱动（</w:t>
      </w:r>
      <w:r>
        <w:rPr>
          <w:rFonts w:hint="eastAsia" w:ascii="宋体" w:hAnsi="宋体" w:eastAsia="宋体" w:cs="宋体"/>
          <w:color w:val="auto"/>
          <w:kern w:val="0"/>
          <w:sz w:val="24"/>
          <w:szCs w:val="24"/>
          <w:lang w:val="en-US" w:eastAsia="zh-CN"/>
        </w:rPr>
        <w:t>VVVF</w:t>
      </w:r>
      <w:r>
        <w:rPr>
          <w:rFonts w:hint="eastAsia" w:ascii="宋体" w:hAnsi="宋体" w:eastAsia="宋体" w:cs="宋体"/>
          <w:color w:val="auto"/>
          <w:kern w:val="0"/>
          <w:sz w:val="24"/>
          <w:szCs w:val="24"/>
        </w:rPr>
        <w:t>），曳引机应满足GB10058-</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rPr>
        <w:t>的相关规定要求。</w:t>
      </w:r>
    </w:p>
    <w:p w14:paraId="2CDE158B">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控制系统：</w:t>
      </w:r>
      <w:r>
        <w:rPr>
          <w:rFonts w:hint="eastAsia" w:ascii="宋体" w:hAnsi="宋体" w:eastAsia="宋体" w:cs="宋体"/>
          <w:color w:val="auto"/>
          <w:kern w:val="0"/>
          <w:sz w:val="24"/>
          <w:szCs w:val="24"/>
        </w:rPr>
        <w:t>全电脑网络控制处理器（模块化），主控微机板采用</w:t>
      </w:r>
      <w:r>
        <w:rPr>
          <w:rFonts w:hint="eastAsia" w:ascii="宋体" w:hAnsi="宋体" w:eastAsia="宋体" w:cs="宋体"/>
          <w:color w:val="auto"/>
          <w:sz w:val="24"/>
          <w:szCs w:val="24"/>
        </w:rPr>
        <w:t>32位微电脑全集选控制。</w:t>
      </w:r>
    </w:p>
    <w:p w14:paraId="5FCFFC32">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cs="宋体"/>
          <w:color w:val="auto"/>
          <w:sz w:val="24"/>
          <w:szCs w:val="24"/>
          <w:lang w:val="en-US" w:eastAsia="zh-CN"/>
        </w:rPr>
        <w:t>6</w:t>
      </w:r>
      <w:r>
        <w:rPr>
          <w:rFonts w:hint="eastAsia" w:ascii="宋体" w:hAnsi="宋体" w:eastAsia="宋体" w:cs="宋体"/>
          <w:color w:val="auto"/>
          <w:kern w:val="0"/>
          <w:sz w:val="24"/>
          <w:szCs w:val="24"/>
        </w:rPr>
        <w:t>主机：变频调速电机、永磁同步无齿轮驱动</w:t>
      </w:r>
      <w:r>
        <w:rPr>
          <w:rFonts w:hint="eastAsia" w:ascii="宋体" w:hAnsi="宋体" w:eastAsia="宋体" w:cs="宋体"/>
          <w:color w:val="auto"/>
          <w:sz w:val="24"/>
          <w:szCs w:val="24"/>
          <w:lang w:eastAsia="zh-CN"/>
        </w:rPr>
        <w:t>。</w:t>
      </w:r>
    </w:p>
    <w:p w14:paraId="6CA1DF62">
      <w:pPr>
        <w:pStyle w:val="9"/>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＊1.2.</w:t>
      </w:r>
      <w:r>
        <w:rPr>
          <w:rFonts w:hint="eastAsia" w:ascii="宋体" w:hAnsi="宋体" w:cs="宋体"/>
          <w:color w:val="auto"/>
          <w:sz w:val="24"/>
          <w:szCs w:val="24"/>
          <w:lang w:val="en-US" w:eastAsia="zh-CN"/>
        </w:rPr>
        <w:t>7</w:t>
      </w:r>
      <w:r>
        <w:rPr>
          <w:rFonts w:hint="eastAsia" w:ascii="宋体" w:hAnsi="宋体" w:eastAsia="宋体" w:cs="宋体"/>
          <w:color w:val="auto"/>
          <w:kern w:val="0"/>
          <w:sz w:val="24"/>
          <w:szCs w:val="24"/>
        </w:rPr>
        <w:t xml:space="preserve">门机系统：应采用配套门机，并采用安全光幕保护系统，变压变频（VVVF）调速驱动。 </w:t>
      </w:r>
    </w:p>
    <w:p w14:paraId="05B072B7">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＊1.2.8开门方式：双扇自动中分门</w:t>
      </w:r>
      <w:r>
        <w:rPr>
          <w:rFonts w:hint="eastAsia" w:ascii="宋体" w:hAnsi="宋体" w:eastAsia="宋体" w:cs="宋体"/>
          <w:color w:val="auto"/>
          <w:sz w:val="24"/>
          <w:szCs w:val="24"/>
          <w:lang w:eastAsia="zh-CN"/>
        </w:rPr>
        <w:t>。</w:t>
      </w:r>
    </w:p>
    <w:p w14:paraId="137690B0">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＊1.2.9轿厢</w:t>
      </w:r>
    </w:p>
    <w:p w14:paraId="3F0F9CB2">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＊1.2.9.1轿厢装饰方案：轿厢及轿门均采用发纹不锈钢，材质304</w:t>
      </w:r>
      <w:r>
        <w:rPr>
          <w:rFonts w:hint="eastAsia" w:ascii="宋体" w:hAnsi="宋体" w:eastAsia="宋体" w:cs="宋体"/>
          <w:color w:val="auto"/>
          <w:sz w:val="24"/>
          <w:szCs w:val="24"/>
          <w:lang w:eastAsia="zh-CN"/>
        </w:rPr>
        <w:t>发纹不锈钢≥</w:t>
      </w:r>
      <w:r>
        <w:rPr>
          <w:rFonts w:hint="eastAsia" w:ascii="宋体" w:hAnsi="宋体" w:eastAsia="宋体" w:cs="宋体"/>
          <w:color w:val="auto"/>
          <w:sz w:val="24"/>
          <w:szCs w:val="24"/>
          <w:lang w:val="en-US" w:eastAsia="zh-CN"/>
        </w:rPr>
        <w:t>1.0mm</w:t>
      </w:r>
      <w:r>
        <w:rPr>
          <w:rFonts w:hint="eastAsia" w:ascii="宋体" w:hAnsi="宋体" w:eastAsia="宋体" w:cs="宋体"/>
          <w:color w:val="auto"/>
          <w:sz w:val="24"/>
          <w:szCs w:val="24"/>
        </w:rPr>
        <w:t>；轿顶采用标准装饰并提供样本图册，供</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选订。轿厢净高不得低于23</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cm。轿厢地面采用</w:t>
      </w:r>
      <w:r>
        <w:rPr>
          <w:rFonts w:hint="eastAsia" w:ascii="宋体" w:hAnsi="宋体" w:eastAsia="宋体" w:cs="宋体"/>
          <w:color w:val="auto"/>
          <w:sz w:val="24"/>
          <w:szCs w:val="24"/>
          <w:lang w:val="en-US" w:eastAsia="zh-CN"/>
        </w:rPr>
        <w:t>大理石</w:t>
      </w:r>
      <w:r>
        <w:rPr>
          <w:rFonts w:hint="eastAsia" w:ascii="宋体" w:hAnsi="宋体" w:eastAsia="宋体" w:cs="宋体"/>
          <w:color w:val="auto"/>
          <w:sz w:val="24"/>
          <w:szCs w:val="24"/>
        </w:rPr>
        <w:t>；电梯轿厢内前壁采用1套连体式发纹不锈钢操作面板。</w:t>
      </w:r>
    </w:p>
    <w:p w14:paraId="36F59633">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＊1.2.9.2 轿内操纵箱：发纹不锈钢，设置一体化操纵盘，采用液晶显示，</w:t>
      </w:r>
      <w:r>
        <w:rPr>
          <w:rFonts w:hint="eastAsia" w:ascii="宋体" w:hAnsi="宋体" w:eastAsia="宋体" w:cs="宋体"/>
          <w:color w:val="auto"/>
          <w:kern w:val="0"/>
          <w:sz w:val="24"/>
          <w:szCs w:val="24"/>
        </w:rPr>
        <w:t>不锈钢按钮，有运行方向箭头显示。</w:t>
      </w:r>
    </w:p>
    <w:p w14:paraId="4C1A1627">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＊1.2.9.3层站位置指示器：配置高亮度液晶显示器，可以显示电梯的位置和运行方向。</w:t>
      </w:r>
    </w:p>
    <w:p w14:paraId="21C3D07F">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＊1.2.9.4称重装置：电子称重装置，控制柜中可</w:t>
      </w:r>
      <w:bookmarkStart w:id="13" w:name="_GoBack"/>
      <w:r>
        <w:rPr>
          <w:rFonts w:hint="eastAsia" w:ascii="宋体" w:hAnsi="宋体" w:eastAsia="宋体" w:cs="宋体"/>
          <w:color w:val="auto"/>
          <w:sz w:val="24"/>
          <w:szCs w:val="24"/>
        </w:rPr>
        <w:t>随时</w:t>
      </w:r>
      <w:bookmarkEnd w:id="13"/>
      <w:r>
        <w:rPr>
          <w:rFonts w:hint="eastAsia" w:ascii="宋体" w:hAnsi="宋体" w:eastAsia="宋体" w:cs="宋体"/>
          <w:color w:val="auto"/>
          <w:sz w:val="24"/>
          <w:szCs w:val="24"/>
        </w:rPr>
        <w:t>显示荷载重量。</w:t>
      </w:r>
    </w:p>
    <w:p w14:paraId="26B62AF5">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＊1.2.9.5 轿厢讯号装置：具有超载显示报警功能。</w:t>
      </w:r>
    </w:p>
    <w:p w14:paraId="0A957003">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＊1.2.9.6主要层站开门时间可调，并具有延长开门时间按钮。</w:t>
      </w:r>
    </w:p>
    <w:p w14:paraId="210E31B0">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1.2.10轿厢门和厅门</w:t>
      </w:r>
    </w:p>
    <w:p w14:paraId="6F92B1AB">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＊1.2.10.1开门机：变频变压调速电脑控制（VVVF），门机采用带齿皮带传动；要求调速平滑，运行可靠。</w:t>
      </w:r>
    </w:p>
    <w:p w14:paraId="3B4046B2">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＊1.2.10.</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轿门开门装置：轿门开门装置动作寿命（开门加关门算一次）达到1300万次及以上。（需提供经CMA认可的第三方检测机构出具的检测报告原件的扫描件上传至投标文件中）</w:t>
      </w:r>
    </w:p>
    <w:p w14:paraId="5D840889">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＊1.2.10.</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 门电机：①采用永磁同步门电动机；②与电梯为同一品牌；③外壳防护等级IP65。（需提供经CMA认可的第三方检测机构出具的检测报告原件的扫描件上传至投标文件中）</w:t>
      </w:r>
    </w:p>
    <w:p w14:paraId="18885D08">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＊1.2.10.</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 xml:space="preserve"> 轿厢门和厅门关闭后，门扇之间的间隙应小于4mm。</w:t>
      </w:r>
    </w:p>
    <w:p w14:paraId="4F0C3772">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▲1.2.10.</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电梯光幕</w:t>
      </w:r>
      <w:r>
        <w:rPr>
          <w:rFonts w:hint="eastAsia" w:ascii="宋体" w:hAnsi="宋体" w:cs="宋体"/>
          <w:color w:val="auto"/>
          <w:sz w:val="24"/>
          <w:szCs w:val="24"/>
          <w:lang w:val="en-US" w:eastAsia="zh-CN"/>
        </w:rPr>
        <w:t>与电梯为同一品牌，</w:t>
      </w:r>
      <w:r>
        <w:rPr>
          <w:rFonts w:hint="eastAsia" w:ascii="宋体" w:hAnsi="宋体" w:cs="宋体"/>
          <w:color w:val="auto"/>
          <w:sz w:val="24"/>
          <w:szCs w:val="24"/>
          <w:lang w:eastAsia="zh-CN"/>
        </w:rPr>
        <w:t>且满足发射接收管数目≥48对，光束≥230束，探测距离0~5m，IP防护等级≥IP65。（需提供经CMA认可的第三方检测机构出具的检测报告原件的扫描件上传至投标文件中）</w:t>
      </w:r>
      <w:r>
        <w:rPr>
          <w:rFonts w:hint="eastAsia" w:ascii="宋体" w:hAnsi="宋体" w:eastAsia="宋体" w:cs="宋体"/>
          <w:color w:val="auto"/>
          <w:sz w:val="24"/>
          <w:szCs w:val="24"/>
        </w:rPr>
        <w:t>。</w:t>
      </w:r>
    </w:p>
    <w:p w14:paraId="713DD3AF">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具有重复关门功能。</w:t>
      </w:r>
    </w:p>
    <w:p w14:paraId="03E2E1D5">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1.2.10.</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厅门采用发纹不锈钢≥1.0mm,小门套采用发纹不锈钢≥1.0mm</w:t>
      </w:r>
    </w:p>
    <w:p w14:paraId="67B038FA">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1.2.10.8</w:t>
      </w:r>
      <w:r>
        <w:rPr>
          <w:rFonts w:hint="eastAsia" w:ascii="宋体" w:hAnsi="宋体" w:eastAsia="宋体" w:cs="宋体"/>
          <w:color w:val="auto"/>
          <w:sz w:val="24"/>
          <w:szCs w:val="24"/>
        </w:rPr>
        <w:t>门开关</w:t>
      </w:r>
      <w:r>
        <w:rPr>
          <w:rFonts w:hint="eastAsia" w:ascii="宋体" w:hAnsi="宋体" w:cs="宋体"/>
          <w:color w:val="auto"/>
          <w:sz w:val="24"/>
          <w:szCs w:val="24"/>
          <w:lang w:eastAsia="zh-CN"/>
        </w:rPr>
        <w:t>：</w:t>
      </w:r>
      <w:r>
        <w:rPr>
          <w:rFonts w:hint="eastAsia" w:ascii="宋体" w:hAnsi="宋体" w:eastAsia="宋体" w:cs="宋体"/>
          <w:color w:val="auto"/>
          <w:sz w:val="24"/>
          <w:szCs w:val="24"/>
        </w:rPr>
        <w:t>动作寿命达到1500万次及以上。（需提供经CMA认可的第三方检测机构出具的检测报告原件的扫描件上传至投标文件中）</w:t>
      </w:r>
    </w:p>
    <w:p w14:paraId="4FB73B64">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1.2.11轿厢顶</w:t>
      </w:r>
    </w:p>
    <w:p w14:paraId="75C6AD78">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＊1.2.11.1轿顶上设检修箱及安全护栏，供检修时使用，如轿厢内、井道、控制柜也设有检修运行装置，应确保轿顶优先，检修运行应符合GB7588（20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3）中的规定。</w:t>
      </w:r>
    </w:p>
    <w:p w14:paraId="730148BD">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＊1.2.11.2检修箱应包括以下装置：手旋复位的红色停止按钮；检修开关；带36</w:t>
      </w:r>
      <w:r>
        <w:rPr>
          <w:rFonts w:hint="eastAsia" w:ascii="宋体" w:hAnsi="宋体" w:eastAsia="宋体" w:cs="宋体"/>
          <w:color w:val="auto"/>
          <w:sz w:val="24"/>
          <w:szCs w:val="24"/>
          <w:lang w:val="en-US" w:eastAsia="zh-CN"/>
        </w:rPr>
        <w:t>V</w:t>
      </w:r>
      <w:r>
        <w:rPr>
          <w:rFonts w:hint="eastAsia" w:ascii="宋体" w:hAnsi="宋体" w:eastAsia="宋体" w:cs="宋体"/>
          <w:color w:val="auto"/>
          <w:sz w:val="24"/>
          <w:szCs w:val="24"/>
        </w:rPr>
        <w:t>检修照明灯；维修用插座（220</w:t>
      </w:r>
      <w:r>
        <w:rPr>
          <w:rFonts w:hint="eastAsia" w:ascii="宋体" w:hAnsi="宋体" w:eastAsia="宋体" w:cs="宋体"/>
          <w:color w:val="auto"/>
          <w:sz w:val="24"/>
          <w:szCs w:val="24"/>
          <w:lang w:val="en-US" w:eastAsia="zh-CN"/>
        </w:rPr>
        <w:t>V</w:t>
      </w:r>
      <w:r>
        <w:rPr>
          <w:rFonts w:hint="eastAsia" w:ascii="宋体" w:hAnsi="宋体" w:eastAsia="宋体" w:cs="宋体"/>
          <w:color w:val="auto"/>
          <w:sz w:val="24"/>
          <w:szCs w:val="24"/>
        </w:rPr>
        <w:t>，单相三线）；检修运行按钮。</w:t>
      </w:r>
    </w:p>
    <w:p w14:paraId="66478555">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＊1.2.12</w:t>
      </w:r>
      <w:bookmarkStart w:id="0" w:name="_Toc514313428"/>
      <w:bookmarkStart w:id="1" w:name="_Toc132207331"/>
      <w:bookmarkStart w:id="2" w:name="_Toc135749911"/>
      <w:bookmarkStart w:id="3" w:name="_Toc514164609"/>
      <w:bookmarkStart w:id="4" w:name="_Toc133390280"/>
      <w:bookmarkStart w:id="5" w:name="_Toc514314332"/>
      <w:bookmarkStart w:id="6" w:name="_Toc133308838"/>
      <w:bookmarkStart w:id="7" w:name="_Toc514312905"/>
      <w:bookmarkStart w:id="8" w:name="_Toc514313056"/>
      <w:bookmarkStart w:id="9" w:name="_Toc514170740"/>
      <w:r>
        <w:rPr>
          <w:rFonts w:hint="eastAsia" w:ascii="宋体" w:hAnsi="宋体" w:eastAsia="宋体" w:cs="宋体"/>
          <w:color w:val="auto"/>
          <w:sz w:val="24"/>
          <w:szCs w:val="24"/>
        </w:rPr>
        <w:t>厅外指示及呼叫一体式装置</w:t>
      </w:r>
    </w:p>
    <w:p w14:paraId="48DA6CEA">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层均配置厅外层站指示器与厅外呼叫一体式装置，高亮度LED数码管楼层显示器，显示电梯的位置和运行方向，当电梯处于关闭、暂停服务或维修状态下时，应能给予各类乘客明确的提示。面板为发纹不锈钢，采用数字微触按钮，微型动态发光二极管按钮照明。呼叫装置应满足普通乘客的使用要求。基站（地面一层）呼叫装置上应有钥匙开关（泊梯开关），该开关用以接通控制电源。</w:t>
      </w:r>
      <w:bookmarkEnd w:id="0"/>
      <w:bookmarkEnd w:id="1"/>
      <w:bookmarkEnd w:id="2"/>
      <w:bookmarkEnd w:id="3"/>
      <w:bookmarkEnd w:id="4"/>
      <w:bookmarkEnd w:id="5"/>
      <w:bookmarkEnd w:id="6"/>
      <w:bookmarkEnd w:id="7"/>
      <w:bookmarkEnd w:id="8"/>
      <w:bookmarkEnd w:id="9"/>
    </w:p>
    <w:p w14:paraId="7EDB7C74">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1.3其他装置</w:t>
      </w:r>
    </w:p>
    <w:p w14:paraId="53B5A304">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＊1.3.1</w:t>
      </w:r>
      <w:r>
        <w:rPr>
          <w:rFonts w:hint="eastAsia" w:ascii="宋体" w:hAnsi="宋体" w:eastAsia="宋体" w:cs="宋体"/>
          <w:bCs/>
          <w:color w:val="auto"/>
          <w:sz w:val="24"/>
          <w:szCs w:val="24"/>
        </w:rPr>
        <w:t>轿厢导轨主轨采用实心钢制T型轨：导靴为滑动式。</w:t>
      </w:r>
    </w:p>
    <w:p w14:paraId="657950E1">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＊1.3.</w:t>
      </w:r>
      <w:r>
        <w:rPr>
          <w:rFonts w:hint="eastAsia" w:ascii="宋体" w:hAnsi="宋体" w:eastAsia="宋体" w:cs="宋体"/>
          <w:bCs/>
          <w:color w:val="auto"/>
          <w:sz w:val="24"/>
          <w:szCs w:val="24"/>
        </w:rPr>
        <w:t>2自动精确平层：平层精度应小于±5mm。</w:t>
      </w:r>
    </w:p>
    <w:p w14:paraId="231270C3">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＊1.3.</w:t>
      </w: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提供双电路供电开关，停电时，依靠双电源切换装置切换另一回路电力驱动电梯，投标人承诺能保证电梯的正常运行。</w:t>
      </w:r>
    </w:p>
    <w:p w14:paraId="661109B9">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＊1.3.</w:t>
      </w:r>
      <w:r>
        <w:rPr>
          <w:rFonts w:hint="eastAsia" w:ascii="宋体" w:hAnsi="宋体" w:eastAsia="宋体" w:cs="宋体"/>
          <w:bCs/>
          <w:color w:val="auto"/>
          <w:sz w:val="24"/>
          <w:szCs w:val="24"/>
        </w:rPr>
        <w:t>4轿厢应急照明：供电中断，应急灯立即点亮，向轿厢提供照明（应急灯应采用免维护蓄电池，自动充电，供电时间应不小于4小时）。</w:t>
      </w:r>
    </w:p>
    <w:p w14:paraId="1E305601">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＊1.3.</w:t>
      </w:r>
      <w:r>
        <w:rPr>
          <w:rFonts w:hint="eastAsia" w:ascii="宋体" w:hAnsi="宋体" w:eastAsia="宋体" w:cs="宋体"/>
          <w:bCs/>
          <w:color w:val="auto"/>
          <w:sz w:val="24"/>
          <w:szCs w:val="24"/>
        </w:rPr>
        <w:t>5具有电源缺相、错相、短路保护装置。</w:t>
      </w:r>
    </w:p>
    <w:p w14:paraId="593DD84D">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＊1.3.</w:t>
      </w:r>
      <w:r>
        <w:rPr>
          <w:rFonts w:hint="eastAsia" w:ascii="宋体" w:hAnsi="宋体" w:eastAsia="宋体" w:cs="宋体"/>
          <w:bCs/>
          <w:color w:val="auto"/>
          <w:sz w:val="24"/>
          <w:szCs w:val="24"/>
        </w:rPr>
        <w:t>6具备火灾运行管理功能：发生火警时，地面1层消防开关接通，所有召唤取消，轿厢返回地面1层，开门放人。提供和消防控制中心匹配的信号输入输出点，消防完毕信号采用无源干触点输出，供消防设备采集信号。</w:t>
      </w:r>
    </w:p>
    <w:p w14:paraId="7CC63C03">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＊1.3.</w:t>
      </w:r>
      <w:r>
        <w:rPr>
          <w:rFonts w:hint="eastAsia" w:ascii="宋体" w:hAnsi="宋体" w:eastAsia="宋体" w:cs="宋体"/>
          <w:bCs/>
          <w:color w:val="auto"/>
          <w:sz w:val="24"/>
          <w:szCs w:val="24"/>
        </w:rPr>
        <w:t>7防冲顶功能。</w:t>
      </w:r>
    </w:p>
    <w:p w14:paraId="5B441558">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＊1.3.</w:t>
      </w:r>
      <w:r>
        <w:rPr>
          <w:rFonts w:hint="eastAsia" w:ascii="宋体" w:hAnsi="宋体" w:eastAsia="宋体" w:cs="宋体"/>
          <w:bCs/>
          <w:color w:val="auto"/>
          <w:sz w:val="24"/>
          <w:szCs w:val="24"/>
        </w:rPr>
        <w:t>8防坠落装置。</w:t>
      </w:r>
    </w:p>
    <w:p w14:paraId="7EFA4FF1">
      <w:pPr>
        <w:pStyle w:val="9"/>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1.3.9噪声：机房、轿厢内、开门噪声符合国家标准。</w:t>
      </w:r>
    </w:p>
    <w:p w14:paraId="09AACE0E">
      <w:pPr>
        <w:pStyle w:val="9"/>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1.3.10起、制动及额定运行时应舒适，无抖动、冲击感觉，运行线路应平滑，运行效率高。</w:t>
      </w:r>
    </w:p>
    <w:p w14:paraId="09E11360">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11</w:t>
      </w:r>
      <w:r>
        <w:rPr>
          <w:rFonts w:hint="eastAsia" w:ascii="宋体" w:hAnsi="宋体" w:eastAsia="宋体" w:cs="宋体"/>
          <w:color w:val="auto"/>
          <w:kern w:val="0"/>
          <w:sz w:val="24"/>
          <w:szCs w:val="24"/>
        </w:rPr>
        <w:t>制动器载荷：轿厢内加载至200%，额定载荷并保持20分钟后，部件完好。（需提供经</w:t>
      </w:r>
      <w:r>
        <w:rPr>
          <w:rFonts w:hint="eastAsia" w:ascii="宋体" w:hAnsi="宋体" w:cs="宋体"/>
          <w:color w:val="auto"/>
          <w:kern w:val="0"/>
          <w:sz w:val="24"/>
          <w:szCs w:val="24"/>
          <w:lang w:val="en-US" w:eastAsia="zh-CN"/>
        </w:rPr>
        <w:t>CMA</w:t>
      </w:r>
      <w:r>
        <w:rPr>
          <w:rFonts w:hint="eastAsia" w:ascii="宋体" w:hAnsi="宋体" w:eastAsia="宋体" w:cs="宋体"/>
          <w:color w:val="auto"/>
          <w:kern w:val="0"/>
          <w:sz w:val="24"/>
          <w:szCs w:val="24"/>
        </w:rPr>
        <w:t>认可的第三方检测机构出具的检测报告原件的扫描件上传至投标文件中）</w:t>
      </w:r>
    </w:p>
    <w:p w14:paraId="1487D564">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功能配置</w:t>
      </w:r>
    </w:p>
    <w:p w14:paraId="0517F5AE">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1.4.1基本功能配置：（符合国家验收规范）</w:t>
      </w:r>
    </w:p>
    <w:p w14:paraId="345477C3">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（1）全集选控制运行功能</w:t>
      </w:r>
      <w:r>
        <w:rPr>
          <w:rFonts w:hint="eastAsia" w:ascii="宋体" w:hAnsi="宋体" w:eastAsia="宋体" w:cs="宋体"/>
          <w:color w:val="auto"/>
          <w:kern w:val="0"/>
          <w:sz w:val="24"/>
          <w:szCs w:val="24"/>
          <w:lang w:eastAsia="zh-CN"/>
        </w:rPr>
        <w:t>。</w:t>
      </w:r>
    </w:p>
    <w:p w14:paraId="18196A87">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＊（2）司机服务开关（可通过操纵箱内的开关和按钮对电梯进行单独控制）</w:t>
      </w:r>
      <w:r>
        <w:rPr>
          <w:rFonts w:hint="eastAsia" w:ascii="宋体" w:hAnsi="宋体" w:eastAsia="宋体" w:cs="宋体"/>
          <w:color w:val="auto"/>
          <w:sz w:val="24"/>
          <w:szCs w:val="24"/>
          <w:lang w:eastAsia="zh-CN"/>
        </w:rPr>
        <w:t>。</w:t>
      </w:r>
    </w:p>
    <w:p w14:paraId="5250D0DB">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＊（3）轿内防捣乱功能</w:t>
      </w:r>
      <w:r>
        <w:rPr>
          <w:rFonts w:hint="eastAsia" w:ascii="宋体" w:hAnsi="宋体" w:eastAsia="宋体" w:cs="宋体"/>
          <w:color w:val="auto"/>
          <w:sz w:val="24"/>
          <w:szCs w:val="24"/>
          <w:lang w:eastAsia="zh-CN"/>
        </w:rPr>
        <w:t>。</w:t>
      </w:r>
    </w:p>
    <w:p w14:paraId="2B245E20">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＊（4）安全停靠：出现故障，电梯可低速就近平层，开门放人。</w:t>
      </w:r>
    </w:p>
    <w:p w14:paraId="46185443">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＊（5）门速自动调整（根据门的重量，系统自动调整门运行速度和力矩）</w:t>
      </w:r>
      <w:r>
        <w:rPr>
          <w:rFonts w:hint="eastAsia" w:ascii="宋体" w:hAnsi="宋体" w:eastAsia="宋体" w:cs="宋体"/>
          <w:color w:val="auto"/>
          <w:sz w:val="24"/>
          <w:szCs w:val="24"/>
          <w:lang w:eastAsia="zh-CN"/>
        </w:rPr>
        <w:t>。</w:t>
      </w:r>
    </w:p>
    <w:p w14:paraId="3C4F4184">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▲（6）无障碍功能（语音报站、三侧扶手、后侧镜面及残疾人操纵箱）</w:t>
      </w:r>
      <w:r>
        <w:rPr>
          <w:rFonts w:hint="eastAsia" w:ascii="宋体" w:hAnsi="宋体" w:eastAsia="宋体" w:cs="宋体"/>
          <w:color w:val="auto"/>
          <w:sz w:val="24"/>
          <w:szCs w:val="24"/>
          <w:lang w:eastAsia="zh-CN"/>
        </w:rPr>
        <w:t>。</w:t>
      </w:r>
    </w:p>
    <w:p w14:paraId="074A056A">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＊（7）重复关门（关门受阻时，重复关门动作，直至杂物被清除）</w:t>
      </w:r>
      <w:r>
        <w:rPr>
          <w:rFonts w:hint="eastAsia" w:ascii="宋体" w:hAnsi="宋体" w:eastAsia="宋体" w:cs="宋体"/>
          <w:color w:val="auto"/>
          <w:sz w:val="24"/>
          <w:szCs w:val="24"/>
          <w:lang w:eastAsia="zh-CN"/>
        </w:rPr>
        <w:t>。</w:t>
      </w:r>
    </w:p>
    <w:p w14:paraId="7D7FF306">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＊（8）中文语音报站及轿厢到站钟</w:t>
      </w:r>
      <w:r>
        <w:rPr>
          <w:rFonts w:hint="eastAsia" w:ascii="宋体" w:hAnsi="宋体" w:eastAsia="宋体" w:cs="宋体"/>
          <w:color w:val="auto"/>
          <w:sz w:val="24"/>
          <w:szCs w:val="24"/>
          <w:lang w:eastAsia="zh-CN"/>
        </w:rPr>
        <w:t>。</w:t>
      </w:r>
    </w:p>
    <w:p w14:paraId="25669096">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▲（9）内部安装五方通话全套设备（即电梯内部通话装置以及连接管理用房的所有管线和设备），实现轿厢、机房、监控中心、电梯顶部、电梯底部五方通话；</w:t>
      </w:r>
      <w:r>
        <w:rPr>
          <w:rFonts w:hint="eastAsia" w:ascii="宋体" w:hAnsi="宋体" w:eastAsia="宋体" w:cs="宋体"/>
          <w:color w:val="auto"/>
          <w:sz w:val="24"/>
          <w:szCs w:val="24"/>
          <w:lang w:val="en-US" w:eastAsia="zh-CN"/>
        </w:rPr>
        <w:t>有线不通时候改为无线。</w:t>
      </w:r>
    </w:p>
    <w:p w14:paraId="48714BCF">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▲（10）轿厢内视频监控功能（摄像监控装置以及连接监控中心的所有管线和设备，实现远程监控，所需电缆、管线及设备包含在内）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轿厢内原监控的拆除与恢复。</w:t>
      </w:r>
    </w:p>
    <w:p w14:paraId="06FFDD36">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w:t>
      </w:r>
      <w:r>
        <w:rPr>
          <w:rFonts w:hint="eastAsia" w:ascii="宋体" w:hAnsi="宋体" w:eastAsia="宋体" w:cs="宋体"/>
          <w:color w:val="auto"/>
          <w:kern w:val="0"/>
          <w:sz w:val="24"/>
          <w:szCs w:val="24"/>
        </w:rPr>
        <w:t>停电应急照明功能（包含设备材料）</w:t>
      </w:r>
      <w:r>
        <w:rPr>
          <w:rFonts w:hint="eastAsia" w:ascii="宋体" w:hAnsi="宋体" w:eastAsia="宋体" w:cs="宋体"/>
          <w:color w:val="auto"/>
          <w:kern w:val="0"/>
          <w:sz w:val="24"/>
          <w:szCs w:val="24"/>
          <w:lang w:eastAsia="zh-CN"/>
        </w:rPr>
        <w:t>。</w:t>
      </w:r>
    </w:p>
    <w:p w14:paraId="4AA4FE5C">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＊（12）具备消防操作功能</w:t>
      </w:r>
      <w:r>
        <w:rPr>
          <w:rFonts w:hint="eastAsia" w:ascii="宋体" w:hAnsi="宋体" w:eastAsia="宋体" w:cs="宋体"/>
          <w:color w:val="auto"/>
          <w:sz w:val="24"/>
          <w:szCs w:val="24"/>
          <w:lang w:eastAsia="zh-CN"/>
        </w:rPr>
        <w:t>。</w:t>
      </w:r>
    </w:p>
    <w:p w14:paraId="3408F17D">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＊（13）故障自动存储功能</w:t>
      </w:r>
      <w:r>
        <w:rPr>
          <w:rFonts w:hint="eastAsia" w:ascii="宋体" w:hAnsi="宋体" w:eastAsia="宋体" w:cs="宋体"/>
          <w:color w:val="auto"/>
          <w:sz w:val="24"/>
          <w:szCs w:val="24"/>
          <w:lang w:eastAsia="zh-CN"/>
        </w:rPr>
        <w:t>。</w:t>
      </w:r>
    </w:p>
    <w:p w14:paraId="5BF20CFC">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＊（14）动态分散待机</w:t>
      </w:r>
      <w:r>
        <w:rPr>
          <w:rFonts w:hint="eastAsia" w:ascii="宋体" w:hAnsi="宋体" w:eastAsia="宋体" w:cs="宋体"/>
          <w:color w:val="auto"/>
          <w:sz w:val="24"/>
          <w:szCs w:val="24"/>
          <w:lang w:eastAsia="zh-CN"/>
        </w:rPr>
        <w:t>。</w:t>
      </w:r>
    </w:p>
    <w:p w14:paraId="0D12CF52">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（15）超载保护功能</w:t>
      </w:r>
      <w:r>
        <w:rPr>
          <w:rFonts w:hint="eastAsia" w:ascii="宋体" w:hAnsi="宋体" w:eastAsia="宋体" w:cs="宋体"/>
          <w:color w:val="auto"/>
          <w:kern w:val="0"/>
          <w:sz w:val="24"/>
          <w:szCs w:val="24"/>
          <w:lang w:eastAsia="zh-CN"/>
        </w:rPr>
        <w:t>。</w:t>
      </w:r>
    </w:p>
    <w:p w14:paraId="11D0441C">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（16）超载报警功能</w:t>
      </w:r>
      <w:r>
        <w:rPr>
          <w:rFonts w:hint="eastAsia" w:ascii="宋体" w:hAnsi="宋体" w:eastAsia="宋体" w:cs="宋体"/>
          <w:color w:val="auto"/>
          <w:kern w:val="0"/>
          <w:sz w:val="24"/>
          <w:szCs w:val="24"/>
          <w:lang w:eastAsia="zh-CN"/>
        </w:rPr>
        <w:t>。</w:t>
      </w:r>
    </w:p>
    <w:p w14:paraId="154C94BB">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（17）超速保护功能</w:t>
      </w:r>
      <w:r>
        <w:rPr>
          <w:rFonts w:hint="eastAsia" w:ascii="宋体" w:hAnsi="宋体" w:eastAsia="宋体" w:cs="宋体"/>
          <w:color w:val="auto"/>
          <w:kern w:val="0"/>
          <w:sz w:val="24"/>
          <w:szCs w:val="24"/>
          <w:lang w:eastAsia="zh-CN"/>
        </w:rPr>
        <w:t>。</w:t>
      </w:r>
    </w:p>
    <w:p w14:paraId="7A2C0E74">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（18）电动机空载保护功能</w:t>
      </w:r>
      <w:r>
        <w:rPr>
          <w:rFonts w:hint="eastAsia" w:ascii="宋体" w:hAnsi="宋体" w:eastAsia="宋体" w:cs="宋体"/>
          <w:color w:val="auto"/>
          <w:kern w:val="0"/>
          <w:sz w:val="24"/>
          <w:szCs w:val="24"/>
          <w:lang w:eastAsia="zh-CN"/>
        </w:rPr>
        <w:t>。</w:t>
      </w:r>
    </w:p>
    <w:p w14:paraId="6E46FFCE">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（19）警铃报警联络功能</w:t>
      </w:r>
      <w:r>
        <w:rPr>
          <w:rFonts w:hint="eastAsia" w:ascii="宋体" w:hAnsi="宋体" w:eastAsia="宋体" w:cs="宋体"/>
          <w:color w:val="auto"/>
          <w:kern w:val="0"/>
          <w:sz w:val="24"/>
          <w:szCs w:val="24"/>
          <w:lang w:eastAsia="zh-CN"/>
        </w:rPr>
        <w:t>。</w:t>
      </w:r>
    </w:p>
    <w:p w14:paraId="5A83201E">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（20）故障低速自救运行功能</w:t>
      </w:r>
      <w:r>
        <w:rPr>
          <w:rFonts w:hint="eastAsia" w:ascii="宋体" w:hAnsi="宋体" w:eastAsia="宋体" w:cs="宋体"/>
          <w:color w:val="auto"/>
          <w:kern w:val="0"/>
          <w:sz w:val="24"/>
          <w:szCs w:val="24"/>
          <w:lang w:eastAsia="zh-CN"/>
        </w:rPr>
        <w:t>。</w:t>
      </w:r>
    </w:p>
    <w:p w14:paraId="6035B3BA">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（21）轿顶检修操作功能</w:t>
      </w:r>
      <w:r>
        <w:rPr>
          <w:rFonts w:hint="eastAsia" w:ascii="宋体" w:hAnsi="宋体" w:eastAsia="宋体" w:cs="宋体"/>
          <w:color w:val="auto"/>
          <w:kern w:val="0"/>
          <w:sz w:val="24"/>
          <w:szCs w:val="24"/>
          <w:lang w:eastAsia="zh-CN"/>
        </w:rPr>
        <w:t>。</w:t>
      </w:r>
    </w:p>
    <w:p w14:paraId="5F53E296">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（22）无呼自返基站功能</w:t>
      </w:r>
      <w:r>
        <w:rPr>
          <w:rFonts w:hint="eastAsia" w:ascii="宋体" w:hAnsi="宋体" w:eastAsia="宋体" w:cs="宋体"/>
          <w:color w:val="auto"/>
          <w:kern w:val="0"/>
          <w:sz w:val="24"/>
          <w:szCs w:val="24"/>
          <w:lang w:eastAsia="zh-CN"/>
        </w:rPr>
        <w:t>。</w:t>
      </w:r>
    </w:p>
    <w:p w14:paraId="66148B02">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（23）运行次数显示功能</w:t>
      </w:r>
      <w:r>
        <w:rPr>
          <w:rFonts w:hint="eastAsia" w:ascii="宋体" w:hAnsi="宋体" w:eastAsia="宋体" w:cs="宋体"/>
          <w:color w:val="auto"/>
          <w:kern w:val="0"/>
          <w:sz w:val="24"/>
          <w:szCs w:val="24"/>
          <w:lang w:eastAsia="zh-CN"/>
        </w:rPr>
        <w:t>。</w:t>
      </w:r>
    </w:p>
    <w:p w14:paraId="7A3A8940">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（24）起动补偿功能</w:t>
      </w:r>
      <w:r>
        <w:rPr>
          <w:rFonts w:hint="eastAsia" w:ascii="宋体" w:hAnsi="宋体" w:eastAsia="宋体" w:cs="宋体"/>
          <w:color w:val="auto"/>
          <w:kern w:val="0"/>
          <w:sz w:val="24"/>
          <w:szCs w:val="24"/>
          <w:lang w:eastAsia="zh-CN"/>
        </w:rPr>
        <w:t>。</w:t>
      </w:r>
    </w:p>
    <w:p w14:paraId="7880B410">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（25）停车在非门区提示功能</w:t>
      </w:r>
      <w:r>
        <w:rPr>
          <w:rFonts w:hint="eastAsia" w:ascii="宋体" w:hAnsi="宋体" w:eastAsia="宋体" w:cs="宋体"/>
          <w:color w:val="auto"/>
          <w:kern w:val="0"/>
          <w:sz w:val="24"/>
          <w:szCs w:val="24"/>
          <w:lang w:eastAsia="zh-CN"/>
        </w:rPr>
        <w:t>。</w:t>
      </w:r>
    </w:p>
    <w:p w14:paraId="6431E054">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（26）层高自测定功能</w:t>
      </w:r>
      <w:r>
        <w:rPr>
          <w:rFonts w:hint="eastAsia" w:ascii="宋体" w:hAnsi="宋体" w:eastAsia="宋体" w:cs="宋体"/>
          <w:color w:val="auto"/>
          <w:kern w:val="0"/>
          <w:sz w:val="24"/>
          <w:szCs w:val="24"/>
          <w:lang w:eastAsia="zh-CN"/>
        </w:rPr>
        <w:t>。</w:t>
      </w:r>
    </w:p>
    <w:p w14:paraId="4E728445">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（27）轿厢照明自动控制功能</w:t>
      </w:r>
      <w:r>
        <w:rPr>
          <w:rFonts w:hint="eastAsia" w:ascii="宋体" w:hAnsi="宋体" w:eastAsia="宋体" w:cs="宋体"/>
          <w:color w:val="auto"/>
          <w:kern w:val="0"/>
          <w:sz w:val="24"/>
          <w:szCs w:val="24"/>
          <w:lang w:eastAsia="zh-CN"/>
        </w:rPr>
        <w:t>。</w:t>
      </w:r>
    </w:p>
    <w:p w14:paraId="50A65D09">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（28）轿厢通风自动控制功能</w:t>
      </w:r>
      <w:r>
        <w:rPr>
          <w:rFonts w:hint="eastAsia" w:ascii="宋体" w:hAnsi="宋体" w:eastAsia="宋体" w:cs="宋体"/>
          <w:color w:val="auto"/>
          <w:kern w:val="0"/>
          <w:sz w:val="24"/>
          <w:szCs w:val="24"/>
          <w:lang w:eastAsia="zh-CN"/>
        </w:rPr>
        <w:t>。</w:t>
      </w:r>
    </w:p>
    <w:p w14:paraId="28F20042">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（29）开门时间自动调整功能</w:t>
      </w:r>
      <w:r>
        <w:rPr>
          <w:rFonts w:hint="eastAsia" w:ascii="宋体" w:hAnsi="宋体" w:eastAsia="宋体" w:cs="宋体"/>
          <w:color w:val="auto"/>
          <w:kern w:val="0"/>
          <w:sz w:val="24"/>
          <w:szCs w:val="24"/>
          <w:lang w:eastAsia="zh-CN"/>
        </w:rPr>
        <w:t>。</w:t>
      </w:r>
    </w:p>
    <w:p w14:paraId="6EE08F88">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（30）开门时间自动控制功能</w:t>
      </w:r>
      <w:r>
        <w:rPr>
          <w:rFonts w:hint="eastAsia" w:ascii="宋体" w:hAnsi="宋体" w:eastAsia="宋体" w:cs="宋体"/>
          <w:color w:val="auto"/>
          <w:kern w:val="0"/>
          <w:sz w:val="24"/>
          <w:szCs w:val="24"/>
          <w:lang w:eastAsia="zh-CN"/>
        </w:rPr>
        <w:t>。</w:t>
      </w:r>
    </w:p>
    <w:p w14:paraId="5BDBF33A">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（31）门过载保护功能</w:t>
      </w:r>
      <w:r>
        <w:rPr>
          <w:rFonts w:hint="eastAsia" w:ascii="宋体" w:hAnsi="宋体" w:eastAsia="宋体" w:cs="宋体"/>
          <w:color w:val="auto"/>
          <w:kern w:val="0"/>
          <w:sz w:val="24"/>
          <w:szCs w:val="24"/>
          <w:lang w:eastAsia="zh-CN"/>
        </w:rPr>
        <w:t>。</w:t>
      </w:r>
    </w:p>
    <w:p w14:paraId="243EF509">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（32）开关门时间异常保护功能</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w:t>
      </w:r>
    </w:p>
    <w:p w14:paraId="313DD109">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（33）位置异常自动校正功能</w:t>
      </w:r>
      <w:r>
        <w:rPr>
          <w:rFonts w:hint="eastAsia" w:ascii="宋体" w:hAnsi="宋体" w:eastAsia="宋体" w:cs="宋体"/>
          <w:color w:val="auto"/>
          <w:kern w:val="0"/>
          <w:sz w:val="24"/>
          <w:szCs w:val="24"/>
          <w:lang w:eastAsia="zh-CN"/>
        </w:rPr>
        <w:t>。</w:t>
      </w:r>
    </w:p>
    <w:p w14:paraId="7F2C97D8">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（34）反向内指令自动消除功能</w:t>
      </w:r>
      <w:r>
        <w:rPr>
          <w:rFonts w:hint="eastAsia" w:ascii="宋体" w:hAnsi="宋体" w:eastAsia="宋体" w:cs="宋体"/>
          <w:color w:val="auto"/>
          <w:kern w:val="0"/>
          <w:sz w:val="24"/>
          <w:szCs w:val="24"/>
          <w:lang w:eastAsia="zh-CN"/>
        </w:rPr>
        <w:t>。</w:t>
      </w:r>
    </w:p>
    <w:p w14:paraId="2A766110">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（35）满载直驶运行功能</w:t>
      </w:r>
      <w:r>
        <w:rPr>
          <w:rFonts w:hint="eastAsia" w:ascii="宋体" w:hAnsi="宋体" w:eastAsia="宋体" w:cs="宋体"/>
          <w:color w:val="auto"/>
          <w:kern w:val="0"/>
          <w:sz w:val="24"/>
          <w:szCs w:val="24"/>
          <w:lang w:eastAsia="zh-CN"/>
        </w:rPr>
        <w:t>。</w:t>
      </w:r>
    </w:p>
    <w:p w14:paraId="0E8D9741">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（36）开门异常自动选层功能</w:t>
      </w:r>
      <w:r>
        <w:rPr>
          <w:rFonts w:hint="eastAsia" w:ascii="宋体" w:hAnsi="宋体" w:eastAsia="宋体" w:cs="宋体"/>
          <w:color w:val="auto"/>
          <w:kern w:val="0"/>
          <w:sz w:val="24"/>
          <w:szCs w:val="24"/>
          <w:lang w:eastAsia="zh-CN"/>
        </w:rPr>
        <w:t>。</w:t>
      </w:r>
    </w:p>
    <w:p w14:paraId="181DD930">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（37）安全触板保护功能</w:t>
      </w:r>
      <w:r>
        <w:rPr>
          <w:rFonts w:hint="eastAsia" w:ascii="宋体" w:hAnsi="宋体" w:eastAsia="宋体" w:cs="宋体"/>
          <w:color w:val="auto"/>
          <w:kern w:val="0"/>
          <w:sz w:val="24"/>
          <w:szCs w:val="24"/>
          <w:lang w:eastAsia="zh-CN"/>
        </w:rPr>
        <w:t>。</w:t>
      </w:r>
    </w:p>
    <w:p w14:paraId="0FBA52F4">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（38）微动平层功能</w:t>
      </w:r>
      <w:r>
        <w:rPr>
          <w:rFonts w:hint="eastAsia" w:ascii="宋体" w:hAnsi="宋体" w:eastAsia="宋体" w:cs="宋体"/>
          <w:color w:val="auto"/>
          <w:kern w:val="0"/>
          <w:sz w:val="24"/>
          <w:szCs w:val="24"/>
          <w:lang w:eastAsia="zh-CN"/>
        </w:rPr>
        <w:t>。</w:t>
      </w:r>
    </w:p>
    <w:p w14:paraId="03AB0BFF">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（39）故障自动检测功能</w:t>
      </w:r>
      <w:r>
        <w:rPr>
          <w:rFonts w:hint="eastAsia" w:ascii="宋体" w:hAnsi="宋体" w:eastAsia="宋体" w:cs="宋体"/>
          <w:color w:val="auto"/>
          <w:kern w:val="0"/>
          <w:sz w:val="24"/>
          <w:szCs w:val="24"/>
          <w:lang w:eastAsia="zh-CN"/>
        </w:rPr>
        <w:t>。</w:t>
      </w:r>
    </w:p>
    <w:p w14:paraId="67CFA7CF">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（40）轿内误指令取消功能</w:t>
      </w:r>
      <w:r>
        <w:rPr>
          <w:rFonts w:hint="eastAsia" w:ascii="宋体" w:hAnsi="宋体" w:eastAsia="宋体" w:cs="宋体"/>
          <w:color w:val="auto"/>
          <w:kern w:val="0"/>
          <w:sz w:val="24"/>
          <w:szCs w:val="24"/>
          <w:lang w:eastAsia="zh-CN"/>
        </w:rPr>
        <w:t>。</w:t>
      </w:r>
    </w:p>
    <w:p w14:paraId="2F2479B1">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（41）无效内指令自动消除功能</w:t>
      </w:r>
      <w:r>
        <w:rPr>
          <w:rFonts w:hint="eastAsia" w:ascii="宋体" w:hAnsi="宋体" w:eastAsia="宋体" w:cs="宋体"/>
          <w:color w:val="auto"/>
          <w:kern w:val="0"/>
          <w:sz w:val="24"/>
          <w:szCs w:val="24"/>
          <w:lang w:eastAsia="zh-CN"/>
        </w:rPr>
        <w:t>。</w:t>
      </w:r>
    </w:p>
    <w:p w14:paraId="616594B1">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（42）泊梯功能</w:t>
      </w:r>
      <w:r>
        <w:rPr>
          <w:rFonts w:hint="eastAsia" w:ascii="宋体" w:hAnsi="宋体" w:eastAsia="宋体" w:cs="宋体"/>
          <w:color w:val="auto"/>
          <w:kern w:val="0"/>
          <w:sz w:val="24"/>
          <w:szCs w:val="24"/>
          <w:lang w:eastAsia="zh-CN"/>
        </w:rPr>
        <w:t>。</w:t>
      </w:r>
    </w:p>
    <w:p w14:paraId="016989D2">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（43）门区保护（光幕）</w:t>
      </w:r>
      <w:r>
        <w:rPr>
          <w:rFonts w:hint="eastAsia" w:ascii="宋体" w:hAnsi="宋体" w:eastAsia="宋体" w:cs="宋体"/>
          <w:color w:val="auto"/>
          <w:kern w:val="0"/>
          <w:sz w:val="24"/>
          <w:szCs w:val="24"/>
          <w:lang w:eastAsia="zh-CN"/>
        </w:rPr>
        <w:t>。</w:t>
      </w:r>
    </w:p>
    <w:p w14:paraId="1C93B79A">
      <w:pPr>
        <w:pStyle w:val="9"/>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（44）专用运行功能</w:t>
      </w:r>
      <w:r>
        <w:rPr>
          <w:rFonts w:hint="eastAsia" w:ascii="宋体" w:hAnsi="宋体" w:eastAsia="宋体" w:cs="宋体"/>
          <w:color w:val="auto"/>
          <w:kern w:val="0"/>
          <w:sz w:val="24"/>
          <w:szCs w:val="24"/>
          <w:lang w:eastAsia="zh-CN"/>
        </w:rPr>
        <w:t>。</w:t>
      </w:r>
    </w:p>
    <w:p w14:paraId="0A3FC291">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＊（45）井道照明</w:t>
      </w:r>
      <w:r>
        <w:rPr>
          <w:rFonts w:hint="eastAsia" w:ascii="宋体" w:hAnsi="宋体" w:eastAsia="宋体" w:cs="宋体"/>
          <w:color w:val="auto"/>
          <w:sz w:val="24"/>
          <w:szCs w:val="24"/>
          <w:lang w:eastAsia="zh-CN"/>
        </w:rPr>
        <w:t>。</w:t>
      </w:r>
    </w:p>
    <w:p w14:paraId="2B235179">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＊（46）底坑爬梯</w:t>
      </w:r>
      <w:r>
        <w:rPr>
          <w:rFonts w:hint="eastAsia" w:ascii="宋体" w:hAnsi="宋体" w:eastAsia="宋体" w:cs="宋体"/>
          <w:color w:val="auto"/>
          <w:sz w:val="24"/>
          <w:szCs w:val="24"/>
          <w:lang w:eastAsia="zh-CN"/>
        </w:rPr>
        <w:t>。</w:t>
      </w:r>
    </w:p>
    <w:p w14:paraId="41BD1865">
      <w:pPr>
        <w:pStyle w:val="9"/>
        <w:keepNext w:val="0"/>
        <w:keepLines w:val="0"/>
        <w:pageBreakBefore w:val="0"/>
        <w:tabs>
          <w:tab w:val="left" w:pos="684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＊(47)消防迫降功能</w:t>
      </w:r>
      <w:r>
        <w:rPr>
          <w:rFonts w:hint="eastAsia" w:ascii="宋体" w:hAnsi="宋体" w:eastAsia="宋体" w:cs="宋体"/>
          <w:color w:val="auto"/>
          <w:sz w:val="24"/>
          <w:szCs w:val="24"/>
          <w:lang w:eastAsia="zh-CN"/>
        </w:rPr>
        <w:t>。</w:t>
      </w:r>
    </w:p>
    <w:p w14:paraId="27704524">
      <w:pPr>
        <w:pStyle w:val="9"/>
        <w:keepNext w:val="0"/>
        <w:keepLines w:val="0"/>
        <w:pageBreakBefore w:val="0"/>
        <w:tabs>
          <w:tab w:val="left" w:pos="684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IC卡功能</w:t>
      </w:r>
      <w:r>
        <w:rPr>
          <w:rFonts w:hint="eastAsia" w:ascii="宋体" w:hAnsi="宋体" w:eastAsia="宋体" w:cs="宋体"/>
          <w:color w:val="auto"/>
          <w:sz w:val="24"/>
          <w:szCs w:val="24"/>
          <w:lang w:eastAsia="zh-CN"/>
        </w:rPr>
        <w:t>。</w:t>
      </w:r>
    </w:p>
    <w:p w14:paraId="44A8FF88">
      <w:pPr>
        <w:pStyle w:val="9"/>
        <w:keepNext w:val="0"/>
        <w:keepLines w:val="0"/>
        <w:pageBreakBefore w:val="0"/>
        <w:tabs>
          <w:tab w:val="left" w:pos="684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阻车系统：防电动车进入电梯</w:t>
      </w:r>
      <w:r>
        <w:rPr>
          <w:rFonts w:hint="eastAsia" w:ascii="宋体" w:hAnsi="宋体" w:eastAsia="宋体" w:cs="宋体"/>
          <w:color w:val="auto"/>
          <w:sz w:val="24"/>
          <w:szCs w:val="24"/>
          <w:lang w:eastAsia="zh-CN"/>
        </w:rPr>
        <w:t>。</w:t>
      </w:r>
    </w:p>
    <w:p w14:paraId="6B5AC447">
      <w:pPr>
        <w:pStyle w:val="9"/>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除上述特别要求外电梯性能还应符合GB/T10058-</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rPr>
        <w:t>《电梯技术条件》3.3条的基本要求。</w:t>
      </w:r>
    </w:p>
    <w:p w14:paraId="708D492E">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1.4.2附加功能配置：由投标人自报，但均含在投标总价中。</w:t>
      </w:r>
    </w:p>
    <w:p w14:paraId="380C437E">
      <w:pPr>
        <w:pStyle w:val="9"/>
        <w:keepNext w:val="0"/>
        <w:keepLines w:val="0"/>
        <w:pageBreakBefore w:val="0"/>
        <w:tabs>
          <w:tab w:val="left" w:pos="6840"/>
        </w:tabs>
        <w:kinsoku/>
        <w:wordWrap/>
        <w:overflowPunct/>
        <w:topLinePunct w:val="0"/>
        <w:bidi w:val="0"/>
        <w:spacing w:line="360" w:lineRule="auto"/>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旧梯拆除、</w:t>
      </w:r>
      <w:r>
        <w:rPr>
          <w:rFonts w:hint="eastAsia" w:ascii="宋体" w:hAnsi="宋体" w:eastAsia="宋体" w:cs="宋体"/>
          <w:b/>
          <w:color w:val="auto"/>
          <w:sz w:val="24"/>
          <w:szCs w:val="24"/>
        </w:rPr>
        <w:t>安装、调试</w:t>
      </w:r>
    </w:p>
    <w:p w14:paraId="5F3693EB">
      <w:pPr>
        <w:pStyle w:val="9"/>
        <w:keepNext w:val="0"/>
        <w:keepLines w:val="0"/>
        <w:pageBreakBefore w:val="0"/>
        <w:tabs>
          <w:tab w:val="left" w:pos="6840"/>
        </w:tabs>
        <w:kinsoku/>
        <w:wordWrap/>
        <w:overflowPunct/>
        <w:topLinePunct w:val="0"/>
        <w:bidi w:val="0"/>
        <w:spacing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b/>
          <w:color w:val="auto"/>
          <w:sz w:val="24"/>
          <w:szCs w:val="24"/>
        </w:rPr>
        <w:t>本次所采购电梯由中标单位负责合同设备的采购、安装、调试、报验直至领取运行许可的所有证照，期间发生的一切费用由中标单位负责。</w:t>
      </w:r>
      <w:r>
        <w:rPr>
          <w:rFonts w:hint="eastAsia" w:ascii="宋体" w:hAnsi="宋体" w:eastAsia="宋体" w:cs="宋体"/>
          <w:b/>
          <w:bCs/>
          <w:color w:val="auto"/>
          <w:sz w:val="24"/>
          <w:szCs w:val="24"/>
          <w:lang w:val="en-US" w:eastAsia="zh-CN"/>
        </w:rPr>
        <w:t>旧电梯由中标单位负责拆除，残值用于旧梯拆除费用和井道整改。</w:t>
      </w:r>
      <w:r>
        <w:rPr>
          <w:rFonts w:hint="eastAsia" w:ascii="宋体" w:hAnsi="宋体" w:cs="宋体"/>
          <w:b/>
          <w:bCs/>
          <w:color w:val="auto"/>
          <w:sz w:val="24"/>
          <w:szCs w:val="24"/>
          <w:lang w:val="en-US" w:eastAsia="zh-CN"/>
        </w:rPr>
        <w:t>（明细报价中注明残值抵扣费用，未注明残值抵扣费用的做无效标处理）</w:t>
      </w:r>
    </w:p>
    <w:p w14:paraId="3A00C7AB">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2.2在安装、调试过程中招标方提供水和电源，费用由投标方自理。货物到达现场后卸货所需的起重设备、辅助设备及货物现场保管安装调试所需的一切费用由投标方负责。</w:t>
      </w:r>
    </w:p>
    <w:p w14:paraId="20E36D2C">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2.3在安装调试过程中，允许</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人员参与。设备在此过程中的损坏由投标方负责。</w:t>
      </w:r>
    </w:p>
    <w:p w14:paraId="54B1CCBD">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2.4安装要求：</w:t>
      </w:r>
    </w:p>
    <w:p w14:paraId="49F90EF7">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2.4.1 应具有建设主管部门颁发的电梯安装资质证书和地方政府的许可证</w:t>
      </w:r>
      <w:r>
        <w:rPr>
          <w:rFonts w:hint="eastAsia" w:ascii="宋体" w:hAnsi="宋体" w:eastAsia="宋体" w:cs="宋体"/>
          <w:color w:val="auto"/>
          <w:sz w:val="24"/>
          <w:szCs w:val="24"/>
          <w:lang w:eastAsia="zh-CN"/>
        </w:rPr>
        <w:t>。</w:t>
      </w:r>
    </w:p>
    <w:p w14:paraId="7E7B6F81">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2.4.2 安装队伍概况说明，拟参加安装人员技术证书和工作证及其安装业绩表。</w:t>
      </w:r>
    </w:p>
    <w:p w14:paraId="02B5D31B">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电梯的安装标准将执行最新的国家标准。</w:t>
      </w:r>
    </w:p>
    <w:p w14:paraId="4D8F58F3">
      <w:pPr>
        <w:pStyle w:val="9"/>
        <w:keepNext w:val="0"/>
        <w:keepLines w:val="0"/>
        <w:pageBreakBefore w:val="0"/>
        <w:tabs>
          <w:tab w:val="left" w:pos="6840"/>
        </w:tabs>
        <w:kinsoku/>
        <w:wordWrap/>
        <w:overflowPunct/>
        <w:topLinePunct w:val="0"/>
        <w:bidi w:val="0"/>
        <w:spacing w:line="360" w:lineRule="auto"/>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、机房改造</w:t>
      </w:r>
    </w:p>
    <w:p w14:paraId="019D4111">
      <w:pPr>
        <w:pStyle w:val="9"/>
        <w:keepNext w:val="0"/>
        <w:keepLines w:val="0"/>
        <w:pageBreakBefore w:val="0"/>
        <w:tabs>
          <w:tab w:val="left" w:pos="6840"/>
        </w:tabs>
        <w:kinsoku/>
        <w:wordWrap/>
        <w:overflowPunct/>
        <w:topLinePunct w:val="0"/>
        <w:bidi w:val="0"/>
        <w:spacing w:line="360" w:lineRule="auto"/>
        <w:ind w:firstLine="470" w:firstLineChars="196"/>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3.1</w:t>
      </w:r>
      <w:r>
        <w:rPr>
          <w:rFonts w:hint="eastAsia" w:ascii="宋体" w:hAnsi="宋体" w:eastAsia="宋体" w:cs="宋体"/>
          <w:b w:val="0"/>
          <w:bCs/>
          <w:color w:val="auto"/>
          <w:sz w:val="24"/>
          <w:szCs w:val="24"/>
        </w:rPr>
        <w:t>屋面防水</w:t>
      </w:r>
      <w:r>
        <w:rPr>
          <w:rFonts w:hint="eastAsia" w:ascii="宋体" w:hAnsi="宋体" w:cs="宋体"/>
          <w:b w:val="0"/>
          <w:bCs/>
          <w:color w:val="auto"/>
          <w:sz w:val="24"/>
          <w:szCs w:val="24"/>
          <w:lang w:val="en-US" w:eastAsia="zh-CN"/>
        </w:rPr>
        <w:t>改造，做法要求如下：</w:t>
      </w:r>
    </w:p>
    <w:p w14:paraId="60329D9A">
      <w:pPr>
        <w:pStyle w:val="9"/>
        <w:keepNext w:val="0"/>
        <w:keepLines w:val="0"/>
        <w:pageBreakBefore w:val="0"/>
        <w:tabs>
          <w:tab w:val="left" w:pos="6840"/>
        </w:tabs>
        <w:kinsoku/>
        <w:wordWrap/>
        <w:overflowPunct/>
        <w:topLinePunct w:val="0"/>
        <w:bidi w:val="0"/>
        <w:spacing w:line="360" w:lineRule="auto"/>
        <w:ind w:firstLine="470" w:firstLineChars="196"/>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屋面拆除至原结构层</w:t>
      </w:r>
      <w:r>
        <w:rPr>
          <w:rFonts w:hint="eastAsia" w:ascii="宋体" w:hAnsi="宋体" w:cs="宋体"/>
          <w:b w:val="0"/>
          <w:bCs/>
          <w:color w:val="auto"/>
          <w:sz w:val="24"/>
          <w:szCs w:val="24"/>
          <w:lang w:eastAsia="zh-CN"/>
        </w:rPr>
        <w:t>；</w:t>
      </w:r>
    </w:p>
    <w:p w14:paraId="3E0D03DB">
      <w:pPr>
        <w:pStyle w:val="9"/>
        <w:keepNext w:val="0"/>
        <w:keepLines w:val="0"/>
        <w:pageBreakBefore w:val="0"/>
        <w:tabs>
          <w:tab w:val="left" w:pos="6840"/>
        </w:tabs>
        <w:kinsoku/>
        <w:wordWrap/>
        <w:overflowPunct/>
        <w:topLinePunct w:val="0"/>
        <w:bidi w:val="0"/>
        <w:spacing w:line="360" w:lineRule="auto"/>
        <w:ind w:firstLine="470" w:firstLineChars="196"/>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最薄处30厚LC5.0轻骨料混凝土，找坡2%</w:t>
      </w:r>
      <w:r>
        <w:rPr>
          <w:rFonts w:hint="eastAsia" w:ascii="宋体" w:hAnsi="宋体" w:cs="宋体"/>
          <w:b w:val="0"/>
          <w:bCs/>
          <w:color w:val="auto"/>
          <w:sz w:val="24"/>
          <w:szCs w:val="24"/>
          <w:lang w:eastAsia="zh-CN"/>
        </w:rPr>
        <w:t>；</w:t>
      </w:r>
    </w:p>
    <w:p w14:paraId="5DF6791D">
      <w:pPr>
        <w:pStyle w:val="9"/>
        <w:keepNext w:val="0"/>
        <w:keepLines w:val="0"/>
        <w:pageBreakBefore w:val="0"/>
        <w:tabs>
          <w:tab w:val="left" w:pos="6840"/>
        </w:tabs>
        <w:kinsoku/>
        <w:wordWrap/>
        <w:overflowPunct/>
        <w:topLinePunct w:val="0"/>
        <w:bidi w:val="0"/>
        <w:spacing w:line="360" w:lineRule="auto"/>
        <w:ind w:firstLine="470" w:firstLineChars="196"/>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3</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基层20mm厚水泥砂浆找平</w:t>
      </w:r>
      <w:r>
        <w:rPr>
          <w:rFonts w:hint="eastAsia" w:ascii="宋体" w:hAnsi="宋体" w:cs="宋体"/>
          <w:b w:val="0"/>
          <w:bCs/>
          <w:color w:val="auto"/>
          <w:sz w:val="24"/>
          <w:szCs w:val="24"/>
          <w:lang w:eastAsia="zh-CN"/>
        </w:rPr>
        <w:t>；</w:t>
      </w:r>
    </w:p>
    <w:p w14:paraId="2FEB7FE0">
      <w:pPr>
        <w:pStyle w:val="9"/>
        <w:keepNext w:val="0"/>
        <w:keepLines w:val="0"/>
        <w:pageBreakBefore w:val="0"/>
        <w:tabs>
          <w:tab w:val="left" w:pos="6840"/>
        </w:tabs>
        <w:kinsoku/>
        <w:wordWrap/>
        <w:overflowPunct/>
        <w:topLinePunct w:val="0"/>
        <w:bidi w:val="0"/>
        <w:spacing w:line="360" w:lineRule="auto"/>
        <w:ind w:firstLine="470" w:firstLineChars="196"/>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4</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1.5mm厚聚氨酯涂料防水涂料</w:t>
      </w:r>
      <w:r>
        <w:rPr>
          <w:rFonts w:hint="eastAsia" w:ascii="宋体" w:hAnsi="宋体" w:cs="宋体"/>
          <w:b w:val="0"/>
          <w:bCs/>
          <w:color w:val="auto"/>
          <w:sz w:val="24"/>
          <w:szCs w:val="24"/>
          <w:lang w:eastAsia="zh-CN"/>
        </w:rPr>
        <w:t>；</w:t>
      </w:r>
    </w:p>
    <w:p w14:paraId="1FD9AD16">
      <w:pPr>
        <w:pStyle w:val="9"/>
        <w:keepNext w:val="0"/>
        <w:keepLines w:val="0"/>
        <w:pageBreakBefore w:val="0"/>
        <w:tabs>
          <w:tab w:val="left" w:pos="6840"/>
        </w:tabs>
        <w:kinsoku/>
        <w:wordWrap/>
        <w:overflowPunct/>
        <w:topLinePunct w:val="0"/>
        <w:bidi w:val="0"/>
        <w:spacing w:line="360" w:lineRule="auto"/>
        <w:ind w:firstLine="470" w:firstLineChars="196"/>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5</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3mm厚SBS防水卷材</w:t>
      </w:r>
      <w:r>
        <w:rPr>
          <w:rFonts w:hint="eastAsia" w:ascii="宋体" w:hAnsi="宋体" w:cs="宋体"/>
          <w:b w:val="0"/>
          <w:bCs/>
          <w:color w:val="auto"/>
          <w:sz w:val="24"/>
          <w:szCs w:val="24"/>
          <w:lang w:eastAsia="zh-CN"/>
        </w:rPr>
        <w:t>；</w:t>
      </w:r>
    </w:p>
    <w:p w14:paraId="1824B229">
      <w:pPr>
        <w:pStyle w:val="9"/>
        <w:keepNext w:val="0"/>
        <w:keepLines w:val="0"/>
        <w:pageBreakBefore w:val="0"/>
        <w:tabs>
          <w:tab w:val="left" w:pos="6840"/>
        </w:tabs>
        <w:kinsoku/>
        <w:wordWrap/>
        <w:overflowPunct/>
        <w:topLinePunct w:val="0"/>
        <w:bidi w:val="0"/>
        <w:spacing w:line="360" w:lineRule="auto"/>
        <w:ind w:firstLine="470" w:firstLineChars="196"/>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6</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聚酯布隔离层</w:t>
      </w:r>
      <w:r>
        <w:rPr>
          <w:rFonts w:hint="eastAsia" w:ascii="宋体" w:hAnsi="宋体" w:cs="宋体"/>
          <w:b w:val="0"/>
          <w:bCs/>
          <w:color w:val="auto"/>
          <w:sz w:val="24"/>
          <w:szCs w:val="24"/>
          <w:lang w:eastAsia="zh-CN"/>
        </w:rPr>
        <w:t>；</w:t>
      </w:r>
    </w:p>
    <w:p w14:paraId="10D06CBF">
      <w:pPr>
        <w:pStyle w:val="9"/>
        <w:keepNext w:val="0"/>
        <w:keepLines w:val="0"/>
        <w:pageBreakBefore w:val="0"/>
        <w:tabs>
          <w:tab w:val="left" w:pos="6840"/>
        </w:tabs>
        <w:kinsoku/>
        <w:wordWrap/>
        <w:overflowPunct/>
        <w:topLinePunct w:val="0"/>
        <w:bidi w:val="0"/>
        <w:spacing w:line="360" w:lineRule="auto"/>
        <w:ind w:firstLine="470" w:firstLineChars="196"/>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7</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40mm厚砼保护层（内置Φ4双向钢筋网片@150）</w:t>
      </w:r>
      <w:r>
        <w:rPr>
          <w:rFonts w:hint="eastAsia" w:ascii="宋体" w:hAnsi="宋体" w:cs="宋体"/>
          <w:b w:val="0"/>
          <w:bCs/>
          <w:color w:val="auto"/>
          <w:sz w:val="24"/>
          <w:szCs w:val="24"/>
          <w:lang w:eastAsia="zh-CN"/>
        </w:rPr>
        <w:t>。</w:t>
      </w:r>
    </w:p>
    <w:p w14:paraId="42A45E7D">
      <w:pPr>
        <w:pStyle w:val="9"/>
        <w:keepNext w:val="0"/>
        <w:keepLines w:val="0"/>
        <w:pageBreakBefore w:val="0"/>
        <w:tabs>
          <w:tab w:val="left" w:pos="6840"/>
        </w:tabs>
        <w:kinsoku/>
        <w:wordWrap/>
        <w:overflowPunct/>
        <w:topLinePunct w:val="0"/>
        <w:bidi w:val="0"/>
        <w:spacing w:line="360" w:lineRule="auto"/>
        <w:ind w:firstLine="470" w:firstLineChars="196"/>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3.2</w:t>
      </w:r>
      <w:r>
        <w:rPr>
          <w:rFonts w:hint="eastAsia" w:ascii="宋体" w:hAnsi="宋体" w:eastAsia="宋体" w:cs="宋体"/>
          <w:b w:val="0"/>
          <w:bCs/>
          <w:color w:val="auto"/>
          <w:sz w:val="24"/>
          <w:szCs w:val="24"/>
        </w:rPr>
        <w:t>机房门后加300高100宽细石混凝土挡水坎，并刷1.5Mm厚聚氨酯防水涂料</w:t>
      </w:r>
      <w:r>
        <w:rPr>
          <w:rFonts w:hint="eastAsia" w:ascii="宋体" w:hAnsi="宋体" w:cs="宋体"/>
          <w:b w:val="0"/>
          <w:bCs/>
          <w:color w:val="auto"/>
          <w:sz w:val="24"/>
          <w:szCs w:val="24"/>
          <w:lang w:eastAsia="zh-CN"/>
        </w:rPr>
        <w:t>。</w:t>
      </w:r>
    </w:p>
    <w:p w14:paraId="5C98B3D5">
      <w:pPr>
        <w:pStyle w:val="9"/>
        <w:keepNext w:val="0"/>
        <w:keepLines w:val="0"/>
        <w:pageBreakBefore w:val="0"/>
        <w:tabs>
          <w:tab w:val="left" w:pos="6840"/>
        </w:tabs>
        <w:kinsoku/>
        <w:wordWrap/>
        <w:overflowPunct/>
        <w:topLinePunct w:val="0"/>
        <w:bidi w:val="0"/>
        <w:spacing w:line="360" w:lineRule="auto"/>
        <w:ind w:firstLine="470" w:firstLineChars="196"/>
        <w:textAlignment w:val="auto"/>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3.3</w:t>
      </w:r>
      <w:r>
        <w:rPr>
          <w:rFonts w:hint="eastAsia" w:ascii="宋体" w:hAnsi="宋体" w:eastAsia="宋体" w:cs="宋体"/>
          <w:b w:val="0"/>
          <w:bCs/>
          <w:color w:val="auto"/>
          <w:sz w:val="24"/>
          <w:szCs w:val="24"/>
        </w:rPr>
        <w:t>、原电梯机房门更换为乙级防火门，尺寸根据现有门洞尺寸。</w:t>
      </w:r>
    </w:p>
    <w:p w14:paraId="2305634A">
      <w:pPr>
        <w:pStyle w:val="9"/>
        <w:keepNext w:val="0"/>
        <w:keepLines w:val="0"/>
        <w:pageBreakBefore w:val="0"/>
        <w:tabs>
          <w:tab w:val="left" w:pos="6840"/>
        </w:tabs>
        <w:kinsoku/>
        <w:wordWrap/>
        <w:overflowPunct/>
        <w:topLinePunct w:val="0"/>
        <w:bidi w:val="0"/>
        <w:spacing w:line="360" w:lineRule="auto"/>
        <w:ind w:firstLine="470" w:firstLineChars="196"/>
        <w:textAlignment w:val="auto"/>
        <w:rPr>
          <w:rFonts w:hint="default"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3.4、机房内墙脱落部分须重新粉刷。</w:t>
      </w:r>
    </w:p>
    <w:p w14:paraId="16021987">
      <w:pPr>
        <w:pStyle w:val="9"/>
        <w:keepNext w:val="0"/>
        <w:keepLines w:val="0"/>
        <w:pageBreakBefore w:val="0"/>
        <w:tabs>
          <w:tab w:val="left" w:pos="6840"/>
        </w:tabs>
        <w:kinsoku/>
        <w:wordWrap/>
        <w:overflowPunct/>
        <w:topLinePunct w:val="0"/>
        <w:bidi w:val="0"/>
        <w:spacing w:line="36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其它要求</w:t>
      </w:r>
    </w:p>
    <w:p w14:paraId="0D82DB2F">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  投标人需对所投产品做详细的技术描述。</w:t>
      </w:r>
    </w:p>
    <w:p w14:paraId="2FA4E441">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主要零部件</w:t>
      </w:r>
      <w:r>
        <w:rPr>
          <w:rFonts w:hint="eastAsia" w:ascii="宋体" w:hAnsi="宋体" w:eastAsia="宋体" w:cs="宋体"/>
          <w:color w:val="auto"/>
          <w:sz w:val="24"/>
          <w:szCs w:val="24"/>
          <w:lang w:eastAsia="zh-CN"/>
        </w:rPr>
        <w:t>必须</w:t>
      </w:r>
      <w:r>
        <w:rPr>
          <w:rFonts w:hint="eastAsia" w:ascii="宋体" w:hAnsi="宋体" w:eastAsia="宋体" w:cs="宋体"/>
          <w:color w:val="auto"/>
          <w:sz w:val="24"/>
          <w:szCs w:val="24"/>
        </w:rPr>
        <w:t>如实标明产地。</w:t>
      </w:r>
    </w:p>
    <w:p w14:paraId="2E9CE631">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投标人对中标货物及服务在质保期内的售后服务要有具体内容及承诺。</w:t>
      </w:r>
    </w:p>
    <w:p w14:paraId="616CF63A">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质保期满后的售后服务</w:t>
      </w:r>
    </w:p>
    <w:p w14:paraId="3FE2E2FD">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.1投标人对中标货物及服务在质保期满后，</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方不委托中标方维保的情况下，中标方要列出售后服务具体内容及承诺。</w:t>
      </w:r>
    </w:p>
    <w:p w14:paraId="2561FBA7">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.2分别列出投标方对中标货物质保期满后，在</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方要求的时间内，维保清包、大包的范围、内容、价格及承诺。</w:t>
      </w:r>
    </w:p>
    <w:p w14:paraId="45BE452C">
      <w:pPr>
        <w:pStyle w:val="9"/>
        <w:keepNext w:val="0"/>
        <w:keepLines w:val="0"/>
        <w:pageBreakBefore w:val="0"/>
        <w:tabs>
          <w:tab w:val="left" w:pos="6840"/>
        </w:tabs>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、有关说明</w:t>
      </w:r>
    </w:p>
    <w:p w14:paraId="58B1B2DE">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.1</w:t>
      </w:r>
      <w:r>
        <w:rPr>
          <w:rFonts w:hint="eastAsia" w:ascii="宋体" w:hAnsi="宋体" w:eastAsia="宋体" w:cs="宋体"/>
          <w:color w:val="auto"/>
          <w:sz w:val="24"/>
          <w:szCs w:val="24"/>
        </w:rPr>
        <w:t>建筑尺寸、数据：投标人应</w:t>
      </w:r>
      <w:r>
        <w:rPr>
          <w:rFonts w:hint="eastAsia" w:ascii="宋体" w:hAnsi="宋体" w:eastAsia="宋体" w:cs="宋体"/>
          <w:color w:val="auto"/>
          <w:sz w:val="24"/>
          <w:szCs w:val="24"/>
          <w:lang w:eastAsia="zh-CN"/>
        </w:rPr>
        <w:t>踏勘现场</w:t>
      </w:r>
      <w:r>
        <w:rPr>
          <w:rFonts w:hint="eastAsia" w:ascii="宋体" w:hAnsi="宋体" w:eastAsia="宋体" w:cs="宋体"/>
          <w:color w:val="auto"/>
          <w:sz w:val="24"/>
          <w:szCs w:val="24"/>
        </w:rPr>
        <w:t>校核上述尺寸</w:t>
      </w:r>
      <w:r>
        <w:rPr>
          <w:rFonts w:hint="eastAsia" w:ascii="宋体" w:hAnsi="宋体" w:eastAsia="宋体" w:cs="宋体"/>
          <w:color w:val="auto"/>
          <w:sz w:val="24"/>
          <w:szCs w:val="24"/>
          <w:lang w:eastAsia="zh-CN"/>
        </w:rPr>
        <w:t>，自行报价</w:t>
      </w:r>
      <w:r>
        <w:rPr>
          <w:rFonts w:hint="eastAsia" w:ascii="宋体" w:hAnsi="宋体" w:eastAsia="宋体" w:cs="宋体"/>
          <w:color w:val="auto"/>
          <w:sz w:val="24"/>
          <w:szCs w:val="24"/>
        </w:rPr>
        <w:t>。投标人在投标文件中应提供详细的供货范围清单。</w:t>
      </w:r>
    </w:p>
    <w:p w14:paraId="701E3A94">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.2 文件、资料的提供：投标人在投标文件中，应提供设备制造商、电梯安装、维保的相关资质证书</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本次投标设备安装、调试、质量监督及其他服务人员的配备情况，包括人员姓名、年龄、履历以及从事本专业的工龄、职称、级别及参加类似项目的经验情况，在本项目中承担的具体任务等。</w:t>
      </w:r>
    </w:p>
    <w:p w14:paraId="68BB488A">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.3门锁、安全钳、限速器、缓冲器等重要安全部件、必须具有型式试验合格证书。</w:t>
      </w:r>
    </w:p>
    <w:p w14:paraId="5E96B6C5">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.4投标人在投标文件中提供投标设备及其安装、维保单位的相关业绩以及在项目所在地区的业绩、售后服务机构和人员情况。</w:t>
      </w:r>
    </w:p>
    <w:p w14:paraId="30FA073F">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.5投标人在投标文件中应提供投标文件与招标文件的技术及商务条款偏差表，如与招标文件无偏差，也应说明。</w:t>
      </w:r>
    </w:p>
    <w:p w14:paraId="0D21116C">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.6中标人在设备交货时，应向招标方提供设备、材料的装箱清单、使用说明书、操作规程、保养、维护所必须的资料。所提供资料的语言文字必须是中文。</w:t>
      </w:r>
    </w:p>
    <w:p w14:paraId="71195D30">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.7中标人在设备交货时应向招标方提供设备出厂前各项测试报告和产品合格证书。</w:t>
      </w:r>
    </w:p>
    <w:p w14:paraId="7F855B8B">
      <w:pPr>
        <w:pStyle w:val="9"/>
        <w:keepNext w:val="0"/>
        <w:keepLines w:val="0"/>
        <w:pageBreakBefore w:val="0"/>
        <w:tabs>
          <w:tab w:val="left" w:pos="1080"/>
        </w:tabs>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.8我国实行生产许可证、准入证制度的产品，必须是获得我国具备资质的单位批准认可的产品，投标人应随同投标文件提供有关证明文件。</w:t>
      </w:r>
    </w:p>
    <w:p w14:paraId="0078130D">
      <w:pPr>
        <w:pStyle w:val="9"/>
        <w:keepNext w:val="0"/>
        <w:keepLines w:val="0"/>
        <w:pageBreakBefore w:val="0"/>
        <w:kinsoku/>
        <w:wordWrap/>
        <w:overflowPunct/>
        <w:topLinePunct w:val="0"/>
        <w:bidi w:val="0"/>
        <w:spacing w:line="360" w:lineRule="auto"/>
        <w:ind w:left="-2" w:leftChars="-1"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.9投标人应保证，如能中标，招标方在其本国使用中标设备时，免受第三方提出</w:t>
      </w:r>
      <w:r>
        <w:rPr>
          <w:rFonts w:hint="eastAsia" w:ascii="宋体" w:hAnsi="宋体" w:eastAsia="宋体" w:cs="宋体"/>
          <w:color w:val="auto"/>
          <w:sz w:val="24"/>
          <w:szCs w:val="24"/>
        </w:rPr>
        <w:t>的侵犯其专利权、商标权或工业设计权的起诉。</w:t>
      </w:r>
    </w:p>
    <w:p w14:paraId="17792EAA">
      <w:pPr>
        <w:pStyle w:val="9"/>
        <w:keepNext w:val="0"/>
        <w:keepLines w:val="0"/>
        <w:pageBreakBefore w:val="0"/>
        <w:kinsoku/>
        <w:wordWrap/>
        <w:overflowPunct/>
        <w:topLinePunct w:val="0"/>
        <w:bidi w:val="0"/>
        <w:spacing w:line="360" w:lineRule="auto"/>
        <w:ind w:left="-2" w:leftChars="-1"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.10 电梯的日常维护、保养时间，双方协商，但</w:t>
      </w:r>
      <w:r>
        <w:rPr>
          <w:rFonts w:hint="eastAsia" w:ascii="宋体" w:hAnsi="宋体" w:eastAsia="宋体" w:cs="宋体"/>
          <w:bCs/>
          <w:color w:val="auto"/>
          <w:sz w:val="24"/>
          <w:szCs w:val="24"/>
        </w:rPr>
        <w:t>中标</w:t>
      </w:r>
      <w:r>
        <w:rPr>
          <w:rFonts w:hint="eastAsia" w:ascii="宋体" w:hAnsi="宋体" w:eastAsia="宋体" w:cs="宋体"/>
          <w:color w:val="auto"/>
          <w:sz w:val="24"/>
          <w:szCs w:val="24"/>
        </w:rPr>
        <w:t>方应服从</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方的安排。</w:t>
      </w:r>
    </w:p>
    <w:p w14:paraId="052E4465">
      <w:pPr>
        <w:pStyle w:val="9"/>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 xml:space="preserve"> 中标方供给招标方的设备、材料及中标方自己的施工用具，进入</w:t>
      </w:r>
      <w:r>
        <w:rPr>
          <w:rFonts w:hint="eastAsia" w:ascii="宋体" w:hAnsi="宋体" w:eastAsia="宋体" w:cs="宋体"/>
          <w:bCs/>
          <w:color w:val="auto"/>
          <w:sz w:val="24"/>
          <w:szCs w:val="24"/>
          <w:lang w:eastAsia="zh-CN"/>
        </w:rPr>
        <w:t>项目</w:t>
      </w:r>
      <w:r>
        <w:rPr>
          <w:rFonts w:hint="eastAsia" w:ascii="宋体" w:hAnsi="宋体" w:eastAsia="宋体" w:cs="宋体"/>
          <w:bCs/>
          <w:color w:val="auto"/>
          <w:sz w:val="24"/>
          <w:szCs w:val="24"/>
        </w:rPr>
        <w:t>现场后的保管，由中标方负责</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中标方在现场安装、调试、验收人员的安全、保险、食宿、交通，由中标方负责。</w:t>
      </w:r>
    </w:p>
    <w:p w14:paraId="59676452">
      <w:pPr>
        <w:pStyle w:val="9"/>
        <w:keepNext w:val="0"/>
        <w:keepLines w:val="0"/>
        <w:pageBreakBefore w:val="0"/>
        <w:tabs>
          <w:tab w:val="left" w:pos="1008"/>
        </w:tabs>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.13需</w:t>
      </w:r>
      <w:r>
        <w:rPr>
          <w:rFonts w:hint="eastAsia" w:ascii="宋体" w:hAnsi="宋体" w:eastAsia="宋体" w:cs="宋体"/>
          <w:bCs/>
          <w:color w:val="auto"/>
          <w:sz w:val="24"/>
          <w:szCs w:val="24"/>
          <w:lang w:eastAsia="zh-CN"/>
        </w:rPr>
        <w:t>采购</w:t>
      </w:r>
      <w:r>
        <w:rPr>
          <w:rFonts w:hint="eastAsia" w:ascii="宋体" w:hAnsi="宋体" w:eastAsia="宋体" w:cs="宋体"/>
          <w:bCs/>
          <w:color w:val="auto"/>
          <w:sz w:val="24"/>
          <w:szCs w:val="24"/>
        </w:rPr>
        <w:t>方配合的工作：投标人应在投标文件中说明，如能中标，在安装、调试、验收过程中需</w:t>
      </w:r>
      <w:r>
        <w:rPr>
          <w:rFonts w:hint="eastAsia" w:ascii="宋体" w:hAnsi="宋体" w:eastAsia="宋体" w:cs="宋体"/>
          <w:bCs/>
          <w:color w:val="auto"/>
          <w:sz w:val="24"/>
          <w:szCs w:val="24"/>
          <w:lang w:eastAsia="zh-CN"/>
        </w:rPr>
        <w:t>采购</w:t>
      </w:r>
      <w:r>
        <w:rPr>
          <w:rFonts w:hint="eastAsia" w:ascii="宋体" w:hAnsi="宋体" w:eastAsia="宋体" w:cs="宋体"/>
          <w:bCs/>
          <w:color w:val="auto"/>
          <w:sz w:val="24"/>
          <w:szCs w:val="24"/>
        </w:rPr>
        <w:t>方配合的工作和需</w:t>
      </w:r>
      <w:r>
        <w:rPr>
          <w:rFonts w:hint="eastAsia" w:ascii="宋体" w:hAnsi="宋体" w:eastAsia="宋体" w:cs="宋体"/>
          <w:bCs/>
          <w:color w:val="auto"/>
          <w:sz w:val="24"/>
          <w:szCs w:val="24"/>
          <w:lang w:eastAsia="zh-CN"/>
        </w:rPr>
        <w:t>采购</w:t>
      </w:r>
      <w:r>
        <w:rPr>
          <w:rFonts w:hint="eastAsia" w:ascii="宋体" w:hAnsi="宋体" w:eastAsia="宋体" w:cs="宋体"/>
          <w:bCs/>
          <w:color w:val="auto"/>
          <w:sz w:val="24"/>
          <w:szCs w:val="24"/>
        </w:rPr>
        <w:t>方提供的条件。</w:t>
      </w:r>
    </w:p>
    <w:p w14:paraId="267714FF">
      <w:pPr>
        <w:pStyle w:val="9"/>
        <w:keepNext w:val="0"/>
        <w:keepLines w:val="0"/>
        <w:pageBreakBefore w:val="0"/>
        <w:tabs>
          <w:tab w:val="left" w:pos="1008"/>
        </w:tabs>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.14</w:t>
      </w:r>
      <w:r>
        <w:rPr>
          <w:rFonts w:hint="eastAsia" w:ascii="宋体" w:hAnsi="宋体" w:eastAsia="宋体" w:cs="宋体"/>
          <w:b/>
          <w:bCs/>
          <w:color w:val="auto"/>
          <w:sz w:val="24"/>
          <w:szCs w:val="24"/>
        </w:rPr>
        <w:t>投标人必须到工地踏勘以充分了解工地位置、情况、道路、储存空间、机房、井道现有尺寸、装卸限制及任何其它足以影响报价的情况等。了解土建实际情况，充分考虑电梯井道、机房等改造使之满足安装要求等相关费用</w:t>
      </w:r>
      <w:r>
        <w:rPr>
          <w:rFonts w:hint="eastAsia" w:ascii="宋体" w:hAnsi="宋体" w:eastAsia="宋体" w:cs="宋体"/>
          <w:bCs/>
          <w:color w:val="auto"/>
          <w:sz w:val="24"/>
          <w:szCs w:val="24"/>
        </w:rPr>
        <w:t>，并计入投标报价，</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不负担因投标人对</w:t>
      </w:r>
      <w:r>
        <w:rPr>
          <w:rFonts w:hint="eastAsia" w:ascii="宋体" w:hAnsi="宋体" w:eastAsia="宋体" w:cs="宋体"/>
          <w:bCs/>
          <w:color w:val="auto"/>
          <w:sz w:val="24"/>
          <w:szCs w:val="24"/>
          <w:lang w:eastAsia="zh-CN"/>
        </w:rPr>
        <w:t>原井道</w:t>
      </w:r>
      <w:r>
        <w:rPr>
          <w:rFonts w:hint="eastAsia" w:ascii="宋体" w:hAnsi="宋体" w:eastAsia="宋体" w:cs="宋体"/>
          <w:bCs/>
          <w:color w:val="auto"/>
          <w:sz w:val="24"/>
          <w:szCs w:val="24"/>
        </w:rPr>
        <w:t>情况考虑不周而产生的其他任何费用。中标后任何因忽视或误解</w:t>
      </w:r>
      <w:r>
        <w:rPr>
          <w:rFonts w:hint="eastAsia" w:ascii="宋体" w:hAnsi="宋体" w:eastAsia="宋体" w:cs="宋体"/>
          <w:bCs/>
          <w:color w:val="auto"/>
          <w:sz w:val="24"/>
          <w:szCs w:val="24"/>
          <w:lang w:eastAsia="zh-CN"/>
        </w:rPr>
        <w:t>现场</w:t>
      </w:r>
      <w:r>
        <w:rPr>
          <w:rFonts w:hint="eastAsia" w:ascii="宋体" w:hAnsi="宋体" w:eastAsia="宋体" w:cs="宋体"/>
          <w:bCs/>
          <w:color w:val="auto"/>
          <w:sz w:val="24"/>
          <w:szCs w:val="24"/>
        </w:rPr>
        <w:t>情况而导致的索赔申请将不被批准。</w:t>
      </w:r>
    </w:p>
    <w:p w14:paraId="2E1E0D7D">
      <w:pPr>
        <w:pStyle w:val="9"/>
        <w:keepNext w:val="0"/>
        <w:keepLines w:val="0"/>
        <w:pageBreakBefore w:val="0"/>
        <w:tabs>
          <w:tab w:val="left" w:pos="1008"/>
        </w:tabs>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.15电梯验收合格后，2个月内提供三套完整的电梯验收存档资料，逾期支付</w:t>
      </w:r>
      <w:r>
        <w:rPr>
          <w:rFonts w:hint="eastAsia" w:ascii="宋体" w:hAnsi="宋体" w:eastAsia="宋体" w:cs="宋体"/>
          <w:bCs/>
          <w:color w:val="auto"/>
          <w:sz w:val="24"/>
          <w:szCs w:val="24"/>
          <w:lang w:eastAsia="zh-CN"/>
        </w:rPr>
        <w:t>采购人</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00元/天违约金。</w:t>
      </w:r>
    </w:p>
    <w:p w14:paraId="5650EB79">
      <w:pPr>
        <w:pStyle w:val="9"/>
        <w:keepNext w:val="0"/>
        <w:keepLines w:val="0"/>
        <w:pageBreakBefore w:val="0"/>
        <w:tabs>
          <w:tab w:val="left" w:pos="1008"/>
        </w:tabs>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.16中标项目负责人须全过程参与电梯安装、调试、验收等工作，无故未请假私自离开工地现场处以500元/天违约金，该违约金直接从</w:t>
      </w:r>
      <w:r>
        <w:rPr>
          <w:rFonts w:hint="eastAsia" w:ascii="宋体" w:hAnsi="宋体" w:cs="宋体"/>
          <w:bCs/>
          <w:color w:val="auto"/>
          <w:sz w:val="24"/>
          <w:szCs w:val="24"/>
          <w:lang w:val="en-US" w:eastAsia="zh-CN"/>
        </w:rPr>
        <w:t>合同</w:t>
      </w:r>
      <w:r>
        <w:rPr>
          <w:rFonts w:hint="eastAsia" w:ascii="宋体" w:hAnsi="宋体" w:eastAsia="宋体" w:cs="宋体"/>
          <w:bCs/>
          <w:color w:val="auto"/>
          <w:sz w:val="24"/>
          <w:szCs w:val="24"/>
        </w:rPr>
        <w:t>款中扣除。</w:t>
      </w:r>
    </w:p>
    <w:p w14:paraId="02B612A3">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5</w:t>
      </w:r>
      <w:r>
        <w:rPr>
          <w:rFonts w:hint="eastAsia" w:ascii="宋体" w:hAnsi="宋体" w:eastAsia="宋体" w:cs="宋体"/>
          <w:b/>
          <w:bCs w:val="0"/>
          <w:color w:val="auto"/>
          <w:sz w:val="24"/>
          <w:szCs w:val="24"/>
        </w:rPr>
        <w:t>、技术文件要求</w:t>
      </w:r>
    </w:p>
    <w:p w14:paraId="1289C1D6">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eastAsia="zh-CN"/>
        </w:rPr>
        <w:t>.1 投标人必须按规定要求提供投标货物的详细技术资料，以方便</w:t>
      </w:r>
      <w:r>
        <w:rPr>
          <w:rFonts w:hint="eastAsia" w:ascii="宋体" w:hAnsi="宋体" w:cs="宋体"/>
          <w:bCs/>
          <w:color w:val="auto"/>
          <w:sz w:val="24"/>
          <w:szCs w:val="24"/>
          <w:lang w:val="en-US" w:eastAsia="zh-CN"/>
        </w:rPr>
        <w:t>采购人</w:t>
      </w:r>
      <w:r>
        <w:rPr>
          <w:rFonts w:hint="eastAsia" w:ascii="宋体" w:hAnsi="宋体" w:eastAsia="宋体" w:cs="宋体"/>
          <w:bCs/>
          <w:color w:val="auto"/>
          <w:sz w:val="24"/>
          <w:szCs w:val="24"/>
          <w:lang w:val="en-US" w:eastAsia="zh-CN"/>
        </w:rPr>
        <w:t>评标、定标。投标人提交的技术文件及产品样本必须是“原件</w:t>
      </w:r>
      <w:r>
        <w:rPr>
          <w:rFonts w:hint="eastAsia" w:ascii="宋体" w:hAnsi="宋体" w:cs="宋体"/>
          <w:bCs/>
          <w:color w:val="auto"/>
          <w:sz w:val="24"/>
          <w:szCs w:val="24"/>
          <w:lang w:val="en-US" w:eastAsia="zh-CN"/>
        </w:rPr>
        <w:t>扫描件</w:t>
      </w:r>
      <w:r>
        <w:rPr>
          <w:rFonts w:hint="eastAsia" w:ascii="宋体" w:hAnsi="宋体" w:eastAsia="宋体" w:cs="宋体"/>
          <w:bCs/>
          <w:color w:val="auto"/>
          <w:sz w:val="24"/>
          <w:szCs w:val="24"/>
          <w:lang w:val="en-US" w:eastAsia="zh-CN"/>
        </w:rPr>
        <w:t>”而不是“复印件”，并且所提供的产品样本必须同货物相一致，其中包括货物的主要性能、技术参数、结构特点、适用范围等，所提供的参考资料应尽可能全面详细。</w:t>
      </w:r>
    </w:p>
    <w:p w14:paraId="6FD6793C">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eastAsia="zh-CN"/>
        </w:rPr>
        <w:t>.2投标方应按每台/套设备给招标方提供一套完整的资料并随货物包装发运，其中包括设备安装前对安装环境的要求、操作手册、应用指南和服务。安装说明及示意图，产品合格证、使用说明书、装箱单、进口设备或者进口部件的原产地证明书、商检证明书等。</w:t>
      </w:r>
    </w:p>
    <w:p w14:paraId="1C6C9744">
      <w:pPr>
        <w:pStyle w:val="9"/>
        <w:keepNext w:val="0"/>
        <w:keepLines w:val="0"/>
        <w:pageBreakBefore w:val="0"/>
        <w:widowControl w:val="0"/>
        <w:tabs>
          <w:tab w:val="left" w:pos="6840"/>
        </w:tabs>
        <w:kinsoku/>
        <w:wordWrap/>
        <w:overflowPunct/>
        <w:topLinePunct w:val="0"/>
        <w:autoSpaceDE/>
        <w:autoSpaceDN/>
        <w:bidi w:val="0"/>
        <w:adjustRightInd/>
        <w:snapToGrid/>
        <w:spacing w:line="360" w:lineRule="auto"/>
        <w:textAlignment w:val="auto"/>
        <w:rPr>
          <w:rFonts w:ascii="宋体" w:hAnsi="宋体"/>
          <w:b/>
          <w:color w:val="auto"/>
          <w:sz w:val="24"/>
          <w:szCs w:val="24"/>
        </w:rPr>
      </w:pPr>
      <w:r>
        <w:rPr>
          <w:rFonts w:hint="eastAsia" w:ascii="宋体" w:hAnsi="宋体"/>
          <w:b/>
          <w:color w:val="auto"/>
          <w:sz w:val="24"/>
          <w:szCs w:val="24"/>
        </w:rPr>
        <w:t>（</w:t>
      </w:r>
      <w:r>
        <w:rPr>
          <w:rFonts w:hint="eastAsia" w:ascii="宋体" w:hAnsi="宋体"/>
          <w:b/>
          <w:color w:val="auto"/>
          <w:sz w:val="24"/>
          <w:szCs w:val="24"/>
          <w:lang w:val="en-US" w:eastAsia="zh-CN"/>
        </w:rPr>
        <w:t>三</w:t>
      </w:r>
      <w:r>
        <w:rPr>
          <w:rFonts w:hint="eastAsia" w:ascii="宋体" w:hAnsi="宋体"/>
          <w:b/>
          <w:color w:val="auto"/>
          <w:sz w:val="24"/>
          <w:szCs w:val="24"/>
        </w:rPr>
        <w:t>）</w:t>
      </w:r>
      <w:r>
        <w:rPr>
          <w:rFonts w:hint="eastAsia" w:ascii="宋体" w:hAnsi="宋体"/>
          <w:b/>
          <w:bCs/>
          <w:color w:val="auto"/>
          <w:sz w:val="24"/>
          <w:szCs w:val="24"/>
        </w:rPr>
        <w:t>电梯应符合的技术标准要求</w:t>
      </w:r>
    </w:p>
    <w:p w14:paraId="0C1BB1EF">
      <w:pPr>
        <w:pStyle w:val="9"/>
        <w:keepNext w:val="0"/>
        <w:keepLines w:val="0"/>
        <w:pageBreakBefore w:val="0"/>
        <w:widowControl w:val="0"/>
        <w:tabs>
          <w:tab w:val="left" w:pos="6840"/>
        </w:tabs>
        <w:kinsoku/>
        <w:wordWrap/>
        <w:overflowPunct/>
        <w:topLinePunct w:val="0"/>
        <w:autoSpaceDE/>
        <w:autoSpaceDN/>
        <w:bidi w:val="0"/>
        <w:adjustRightInd/>
        <w:snapToGrid/>
        <w:spacing w:line="360" w:lineRule="auto"/>
        <w:textAlignment w:val="auto"/>
        <w:rPr>
          <w:rFonts w:ascii="宋体" w:hAnsi="宋体"/>
          <w:color w:val="auto"/>
          <w:sz w:val="24"/>
          <w:szCs w:val="24"/>
        </w:rPr>
      </w:pPr>
      <w:r>
        <w:rPr>
          <w:rFonts w:hint="eastAsia" w:ascii="宋体" w:hAnsi="宋体"/>
          <w:color w:val="auto"/>
          <w:sz w:val="24"/>
          <w:szCs w:val="24"/>
        </w:rPr>
        <w:t xml:space="preserve">    投标人所提供货物的设计、制造、产品性能、材料的选择和材料的检验、产品的测试等，都应</w:t>
      </w:r>
      <w:r>
        <w:rPr>
          <w:rFonts w:hint="eastAsia" w:ascii="宋体" w:hAnsi="宋体"/>
          <w:color w:val="auto"/>
          <w:sz w:val="24"/>
          <w:szCs w:val="24"/>
          <w:lang w:eastAsia="zh-CN"/>
        </w:rPr>
        <w:t>按照</w:t>
      </w:r>
      <w:r>
        <w:rPr>
          <w:rFonts w:hint="eastAsia" w:ascii="宋体" w:hAnsi="宋体"/>
          <w:color w:val="auto"/>
          <w:sz w:val="24"/>
          <w:szCs w:val="24"/>
        </w:rPr>
        <w:t>国内外通行的现行标准和相应的技术规范执行。而这些标准和技术规范应为合同签字日为止最新公布发行的标准和技术规范。本技术规格书中使用的标准如下：</w:t>
      </w:r>
    </w:p>
    <w:p w14:paraId="6E4FB020">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宋体" w:hAnsi="宋体" w:eastAsia="宋体"/>
          <w:color w:val="auto"/>
          <w:sz w:val="24"/>
          <w:szCs w:val="24"/>
          <w:lang w:val="en-US" w:eastAsia="zh-CN"/>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）《电梯技术条件》</w:t>
      </w:r>
      <w:r>
        <w:rPr>
          <w:rFonts w:ascii="宋体" w:hAnsi="宋体"/>
          <w:color w:val="auto"/>
          <w:sz w:val="24"/>
          <w:szCs w:val="24"/>
        </w:rPr>
        <w:t>GB/T10058-</w:t>
      </w:r>
      <w:r>
        <w:rPr>
          <w:rFonts w:hint="eastAsia" w:ascii="宋体" w:hAnsi="宋体"/>
          <w:color w:val="auto"/>
          <w:sz w:val="24"/>
          <w:szCs w:val="24"/>
          <w:lang w:val="en-US" w:eastAsia="zh-CN"/>
        </w:rPr>
        <w:t>2023</w:t>
      </w:r>
    </w:p>
    <w:p w14:paraId="316C8CC2">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）《电梯制造与安装安全规范》</w:t>
      </w:r>
      <w:r>
        <w:rPr>
          <w:rFonts w:ascii="宋体" w:hAnsi="宋体"/>
          <w:color w:val="auto"/>
          <w:sz w:val="24"/>
          <w:szCs w:val="24"/>
        </w:rPr>
        <w:t>GB7588-20</w:t>
      </w:r>
      <w:r>
        <w:rPr>
          <w:rFonts w:hint="eastAsia" w:ascii="宋体" w:hAnsi="宋体"/>
          <w:color w:val="auto"/>
          <w:sz w:val="24"/>
          <w:szCs w:val="24"/>
          <w:lang w:val="en-US" w:eastAsia="zh-CN"/>
        </w:rPr>
        <w:t>2</w:t>
      </w:r>
      <w:r>
        <w:rPr>
          <w:rFonts w:ascii="宋体" w:hAnsi="宋体"/>
          <w:color w:val="auto"/>
          <w:sz w:val="24"/>
          <w:szCs w:val="24"/>
        </w:rPr>
        <w:t>3</w:t>
      </w:r>
    </w:p>
    <w:p w14:paraId="64069A7A">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宋体" w:hAnsi="宋体" w:eastAsia="宋体"/>
          <w:color w:val="auto"/>
          <w:sz w:val="24"/>
          <w:szCs w:val="24"/>
          <w:lang w:val="en-US" w:eastAsia="zh-CN"/>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）《电梯试验方法》</w:t>
      </w:r>
      <w:r>
        <w:rPr>
          <w:rFonts w:ascii="宋体" w:hAnsi="宋体"/>
          <w:color w:val="auto"/>
          <w:sz w:val="24"/>
          <w:szCs w:val="24"/>
        </w:rPr>
        <w:t>GB/T10059-</w:t>
      </w:r>
      <w:r>
        <w:rPr>
          <w:rFonts w:hint="eastAsia" w:ascii="宋体" w:hAnsi="宋体"/>
          <w:color w:val="auto"/>
          <w:sz w:val="24"/>
          <w:szCs w:val="24"/>
        </w:rPr>
        <w:t>20</w:t>
      </w:r>
      <w:r>
        <w:rPr>
          <w:rFonts w:hint="eastAsia" w:ascii="宋体" w:hAnsi="宋体"/>
          <w:color w:val="auto"/>
          <w:sz w:val="24"/>
          <w:szCs w:val="24"/>
          <w:lang w:val="en-US" w:eastAsia="zh-CN"/>
        </w:rPr>
        <w:t>23</w:t>
      </w:r>
    </w:p>
    <w:p w14:paraId="39F40011">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宋体" w:hAnsi="宋体" w:eastAsia="宋体"/>
          <w:color w:val="auto"/>
          <w:sz w:val="24"/>
          <w:szCs w:val="24"/>
          <w:lang w:val="en-US" w:eastAsia="zh-CN"/>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）《电梯主要参数及</w:t>
      </w:r>
      <w:r>
        <w:rPr>
          <w:rFonts w:hint="eastAsia" w:ascii="宋体" w:hAnsi="宋体"/>
          <w:color w:val="auto"/>
          <w:sz w:val="24"/>
          <w:szCs w:val="24"/>
          <w:lang w:eastAsia="zh-CN"/>
        </w:rPr>
        <w:t>轿厢</w:t>
      </w:r>
      <w:r>
        <w:rPr>
          <w:rFonts w:hint="eastAsia" w:ascii="宋体" w:hAnsi="宋体"/>
          <w:color w:val="auto"/>
          <w:sz w:val="24"/>
          <w:szCs w:val="24"/>
        </w:rPr>
        <w:t>、井道、机房的形式及尺寸》</w:t>
      </w:r>
      <w:r>
        <w:rPr>
          <w:rFonts w:ascii="宋体" w:hAnsi="宋体"/>
          <w:color w:val="auto"/>
          <w:sz w:val="24"/>
          <w:szCs w:val="24"/>
        </w:rPr>
        <w:t>GB/T 7025.2-20</w:t>
      </w:r>
      <w:r>
        <w:rPr>
          <w:rFonts w:hint="eastAsia" w:ascii="宋体" w:hAnsi="宋体"/>
          <w:color w:val="auto"/>
          <w:sz w:val="24"/>
          <w:szCs w:val="24"/>
          <w:lang w:val="en-US" w:eastAsia="zh-CN"/>
        </w:rPr>
        <w:t>23</w:t>
      </w:r>
    </w:p>
    <w:p w14:paraId="5CA28DD6">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宋体" w:hAnsi="宋体" w:eastAsia="宋体"/>
          <w:color w:val="auto"/>
          <w:sz w:val="24"/>
          <w:szCs w:val="24"/>
          <w:lang w:val="en-US" w:eastAsia="zh-CN"/>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）《电梯安装验收规范》</w:t>
      </w:r>
      <w:r>
        <w:rPr>
          <w:rFonts w:ascii="宋体" w:hAnsi="宋体"/>
          <w:color w:val="auto"/>
          <w:sz w:val="24"/>
          <w:szCs w:val="24"/>
        </w:rPr>
        <w:t>GB10060-</w:t>
      </w:r>
      <w:r>
        <w:rPr>
          <w:rFonts w:hint="eastAsia" w:ascii="宋体" w:hAnsi="宋体"/>
          <w:color w:val="auto"/>
          <w:sz w:val="24"/>
          <w:szCs w:val="24"/>
          <w:lang w:val="en-US" w:eastAsia="zh-CN"/>
        </w:rPr>
        <w:t>2023</w:t>
      </w:r>
    </w:p>
    <w:p w14:paraId="550050B3">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宋体" w:hAnsi="宋体" w:eastAsia="宋体"/>
          <w:color w:val="auto"/>
          <w:sz w:val="24"/>
          <w:szCs w:val="24"/>
          <w:lang w:val="en-US" w:eastAsia="zh-CN"/>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）《电梯工程施工质量验收规范》</w:t>
      </w:r>
      <w:r>
        <w:rPr>
          <w:rFonts w:ascii="宋体" w:hAnsi="宋体"/>
          <w:color w:val="auto"/>
          <w:sz w:val="24"/>
          <w:szCs w:val="24"/>
        </w:rPr>
        <w:t>GB50310-2</w:t>
      </w:r>
      <w:r>
        <w:rPr>
          <w:rFonts w:hint="eastAsia" w:ascii="宋体" w:hAnsi="宋体"/>
          <w:color w:val="auto"/>
          <w:sz w:val="24"/>
          <w:szCs w:val="24"/>
          <w:lang w:val="en-US" w:eastAsia="zh-CN"/>
        </w:rPr>
        <w:t>017</w:t>
      </w:r>
    </w:p>
    <w:p w14:paraId="381517C6">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宋体" w:hAnsi="宋体" w:eastAsia="宋体"/>
          <w:color w:val="auto"/>
          <w:sz w:val="24"/>
          <w:szCs w:val="24"/>
          <w:lang w:val="en-US" w:eastAsia="zh-CN"/>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）《电梯用钢丝》</w:t>
      </w:r>
      <w:r>
        <w:rPr>
          <w:rFonts w:ascii="宋体" w:hAnsi="宋体"/>
          <w:color w:val="auto"/>
          <w:sz w:val="24"/>
          <w:szCs w:val="24"/>
        </w:rPr>
        <w:t>GB8903-</w:t>
      </w:r>
      <w:r>
        <w:rPr>
          <w:rFonts w:hint="eastAsia" w:ascii="宋体" w:hAnsi="宋体"/>
          <w:color w:val="auto"/>
          <w:sz w:val="24"/>
          <w:szCs w:val="24"/>
        </w:rPr>
        <w:t>20</w:t>
      </w:r>
      <w:r>
        <w:rPr>
          <w:rFonts w:hint="eastAsia" w:ascii="宋体" w:hAnsi="宋体"/>
          <w:color w:val="auto"/>
          <w:sz w:val="24"/>
          <w:szCs w:val="24"/>
          <w:lang w:val="en-US" w:eastAsia="zh-CN"/>
        </w:rPr>
        <w:t>24</w:t>
      </w:r>
    </w:p>
    <w:p w14:paraId="039E329A">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宋体" w:hAnsi="宋体" w:eastAsia="宋体"/>
          <w:color w:val="auto"/>
          <w:sz w:val="24"/>
          <w:szCs w:val="24"/>
          <w:lang w:val="en-US" w:eastAsia="zh-CN"/>
        </w:rPr>
      </w:pPr>
      <w:r>
        <w:rPr>
          <w:rFonts w:hint="eastAsia" w:ascii="宋体" w:hAnsi="宋体"/>
          <w:color w:val="auto"/>
          <w:sz w:val="24"/>
          <w:szCs w:val="24"/>
        </w:rPr>
        <w:t>（</w:t>
      </w:r>
      <w:r>
        <w:rPr>
          <w:rFonts w:ascii="宋体" w:hAnsi="宋体"/>
          <w:color w:val="auto"/>
          <w:sz w:val="24"/>
          <w:szCs w:val="24"/>
        </w:rPr>
        <w:t>8</w:t>
      </w:r>
      <w:r>
        <w:rPr>
          <w:rFonts w:hint="eastAsia" w:ascii="宋体" w:hAnsi="宋体"/>
          <w:color w:val="auto"/>
          <w:sz w:val="24"/>
          <w:szCs w:val="24"/>
        </w:rPr>
        <w:t>）《电梯曳引机》</w:t>
      </w:r>
      <w:r>
        <w:rPr>
          <w:rFonts w:ascii="宋体" w:hAnsi="宋体"/>
          <w:color w:val="auto"/>
          <w:sz w:val="24"/>
          <w:szCs w:val="24"/>
        </w:rPr>
        <w:t>GB/T13435-</w:t>
      </w:r>
      <w:r>
        <w:rPr>
          <w:rFonts w:hint="eastAsia" w:ascii="宋体" w:hAnsi="宋体"/>
          <w:color w:val="auto"/>
          <w:sz w:val="24"/>
          <w:szCs w:val="24"/>
          <w:lang w:val="en-US" w:eastAsia="zh-CN"/>
        </w:rPr>
        <w:t>2023</w:t>
      </w:r>
    </w:p>
    <w:p w14:paraId="7CBB3E1E">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宋体" w:hAnsi="宋体" w:eastAsia="宋体"/>
          <w:color w:val="auto"/>
          <w:sz w:val="24"/>
          <w:szCs w:val="24"/>
          <w:lang w:val="en-US" w:eastAsia="zh-CN"/>
        </w:rPr>
      </w:pPr>
      <w:r>
        <w:rPr>
          <w:rFonts w:hint="eastAsia" w:ascii="宋体" w:hAnsi="宋体"/>
          <w:color w:val="auto"/>
          <w:sz w:val="24"/>
          <w:szCs w:val="24"/>
        </w:rPr>
        <w:t>（</w:t>
      </w:r>
      <w:r>
        <w:rPr>
          <w:rFonts w:ascii="宋体" w:hAnsi="宋体"/>
          <w:color w:val="auto"/>
          <w:sz w:val="24"/>
          <w:szCs w:val="24"/>
        </w:rPr>
        <w:t>9</w:t>
      </w:r>
      <w:r>
        <w:rPr>
          <w:rFonts w:hint="eastAsia" w:ascii="宋体" w:hAnsi="宋体"/>
          <w:color w:val="auto"/>
          <w:sz w:val="24"/>
          <w:szCs w:val="24"/>
        </w:rPr>
        <w:t>）《交流电梯电动机通用技术条件》</w:t>
      </w:r>
      <w:r>
        <w:rPr>
          <w:rFonts w:ascii="宋体" w:hAnsi="宋体"/>
          <w:color w:val="auto"/>
          <w:sz w:val="24"/>
          <w:szCs w:val="24"/>
        </w:rPr>
        <w:t>GB/T12974-</w:t>
      </w:r>
      <w:r>
        <w:rPr>
          <w:rFonts w:hint="eastAsia" w:ascii="宋体" w:hAnsi="宋体"/>
          <w:color w:val="auto"/>
          <w:sz w:val="24"/>
          <w:szCs w:val="24"/>
          <w:lang w:val="en-US" w:eastAsia="zh-CN"/>
        </w:rPr>
        <w:t>2023</w:t>
      </w:r>
    </w:p>
    <w:p w14:paraId="07A263EC">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宋体" w:hAnsi="宋体" w:eastAsia="宋体"/>
          <w:color w:val="auto"/>
          <w:sz w:val="24"/>
          <w:szCs w:val="24"/>
          <w:lang w:val="en-US" w:eastAsia="zh-CN"/>
        </w:rPr>
      </w:pPr>
      <w:r>
        <w:rPr>
          <w:rFonts w:hint="eastAsia" w:ascii="宋体" w:hAnsi="宋体"/>
          <w:color w:val="auto"/>
          <w:sz w:val="24"/>
          <w:szCs w:val="24"/>
        </w:rPr>
        <w:t>（</w:t>
      </w:r>
      <w:r>
        <w:rPr>
          <w:rFonts w:ascii="宋体" w:hAnsi="宋体"/>
          <w:color w:val="auto"/>
          <w:sz w:val="24"/>
          <w:szCs w:val="24"/>
        </w:rPr>
        <w:t>10</w:t>
      </w:r>
      <w:r>
        <w:rPr>
          <w:rFonts w:hint="eastAsia" w:ascii="宋体" w:hAnsi="宋体"/>
          <w:color w:val="auto"/>
          <w:sz w:val="24"/>
          <w:szCs w:val="24"/>
        </w:rPr>
        <w:t>）《电梯层门耐火</w:t>
      </w:r>
      <w:r>
        <w:rPr>
          <w:rFonts w:hint="eastAsia" w:ascii="宋体" w:hAnsi="宋体"/>
          <w:color w:val="auto"/>
          <w:sz w:val="24"/>
          <w:szCs w:val="24"/>
          <w:lang w:eastAsia="zh-CN"/>
        </w:rPr>
        <w:t>试验方法</w:t>
      </w:r>
      <w:r>
        <w:rPr>
          <w:rFonts w:hint="eastAsia" w:ascii="宋体" w:hAnsi="宋体"/>
          <w:color w:val="auto"/>
          <w:sz w:val="24"/>
          <w:szCs w:val="24"/>
        </w:rPr>
        <w:t>》</w:t>
      </w:r>
      <w:r>
        <w:rPr>
          <w:rFonts w:ascii="宋体" w:hAnsi="宋体"/>
          <w:color w:val="auto"/>
          <w:sz w:val="24"/>
          <w:szCs w:val="24"/>
        </w:rPr>
        <w:t>GA109-</w:t>
      </w:r>
      <w:r>
        <w:rPr>
          <w:rFonts w:hint="eastAsia" w:ascii="宋体" w:hAnsi="宋体"/>
          <w:color w:val="auto"/>
          <w:sz w:val="24"/>
          <w:szCs w:val="24"/>
          <w:lang w:val="en-US" w:eastAsia="zh-CN"/>
        </w:rPr>
        <w:t>2011</w:t>
      </w:r>
    </w:p>
    <w:p w14:paraId="12A2E63F">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Times New Roman"/>
          <w:color w:val="auto"/>
          <w:sz w:val="24"/>
          <w:szCs w:val="24"/>
        </w:rPr>
      </w:pPr>
      <w:r>
        <w:rPr>
          <w:rFonts w:hint="eastAsia" w:ascii="宋体" w:hAnsi="宋体"/>
          <w:color w:val="auto"/>
          <w:sz w:val="24"/>
          <w:szCs w:val="24"/>
        </w:rPr>
        <w:t>（</w:t>
      </w:r>
      <w:r>
        <w:rPr>
          <w:rFonts w:ascii="宋体" w:hAnsi="宋体"/>
          <w:color w:val="auto"/>
          <w:sz w:val="24"/>
          <w:szCs w:val="24"/>
        </w:rPr>
        <w:t>11</w:t>
      </w:r>
      <w:r>
        <w:rPr>
          <w:rFonts w:hint="eastAsia" w:ascii="宋体" w:hAnsi="宋体"/>
          <w:color w:val="auto"/>
          <w:sz w:val="24"/>
          <w:szCs w:val="24"/>
        </w:rPr>
        <w:t>）《电梯操作装置、信号和附件》（</w:t>
      </w:r>
      <w:r>
        <w:rPr>
          <w:rFonts w:ascii="宋体" w:hAnsi="宋体"/>
          <w:color w:val="auto"/>
          <w:sz w:val="24"/>
          <w:szCs w:val="24"/>
        </w:rPr>
        <w:t>JG/T5009-</w:t>
      </w:r>
      <w:r>
        <w:rPr>
          <w:rFonts w:hint="eastAsia" w:ascii="宋体" w:hAnsi="宋体"/>
          <w:color w:val="auto"/>
          <w:sz w:val="24"/>
          <w:szCs w:val="24"/>
          <w:lang w:val="en-US" w:eastAsia="zh-CN"/>
        </w:rPr>
        <w:t>2014</w:t>
      </w:r>
      <w:r>
        <w:rPr>
          <w:rFonts w:hint="eastAsia" w:ascii="宋体" w:hAnsi="宋体"/>
          <w:color w:val="auto"/>
          <w:sz w:val="24"/>
          <w:szCs w:val="24"/>
        </w:rPr>
        <w:t>）</w:t>
      </w:r>
    </w:p>
    <w:p w14:paraId="0AE2256A">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12</w:t>
      </w:r>
      <w:r>
        <w:rPr>
          <w:rFonts w:hint="eastAsia" w:ascii="宋体" w:hAnsi="宋体"/>
          <w:color w:val="auto"/>
          <w:sz w:val="24"/>
          <w:szCs w:val="24"/>
        </w:rPr>
        <w:t>）《机械设备安装工程电梯电气装置施工及验收规范》</w:t>
      </w:r>
      <w:r>
        <w:rPr>
          <w:rFonts w:ascii="宋体" w:hAnsi="宋体"/>
          <w:color w:val="auto"/>
          <w:sz w:val="24"/>
          <w:szCs w:val="24"/>
        </w:rPr>
        <w:t>GB50182-93</w:t>
      </w:r>
    </w:p>
    <w:p w14:paraId="7CD14AB2">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Times New Roman"/>
          <w:color w:val="auto"/>
          <w:sz w:val="24"/>
          <w:szCs w:val="24"/>
        </w:rPr>
      </w:pPr>
      <w:r>
        <w:rPr>
          <w:rFonts w:hint="eastAsia" w:ascii="宋体" w:hAnsi="宋体"/>
          <w:color w:val="auto"/>
          <w:sz w:val="24"/>
          <w:szCs w:val="24"/>
        </w:rPr>
        <w:t>（</w:t>
      </w:r>
      <w:r>
        <w:rPr>
          <w:rFonts w:ascii="宋体" w:hAnsi="宋体"/>
          <w:color w:val="auto"/>
          <w:sz w:val="24"/>
          <w:szCs w:val="24"/>
        </w:rPr>
        <w:t>13</w:t>
      </w:r>
      <w:r>
        <w:rPr>
          <w:rFonts w:hint="eastAsia" w:ascii="宋体" w:hAnsi="宋体"/>
          <w:color w:val="auto"/>
          <w:sz w:val="24"/>
          <w:szCs w:val="24"/>
        </w:rPr>
        <w:t>）江苏省防火部门的条例及相关的中国国家防火规则</w:t>
      </w:r>
    </w:p>
    <w:p w14:paraId="24990B13">
      <w:pPr>
        <w:pStyle w:val="9"/>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Times New Roman"/>
          <w:color w:val="auto"/>
          <w:sz w:val="24"/>
          <w:szCs w:val="24"/>
        </w:rPr>
      </w:pPr>
      <w:r>
        <w:rPr>
          <w:rFonts w:hint="eastAsia" w:ascii="宋体" w:hAnsi="宋体"/>
          <w:color w:val="auto"/>
          <w:sz w:val="24"/>
          <w:szCs w:val="24"/>
        </w:rPr>
        <w:t>（</w:t>
      </w:r>
      <w:r>
        <w:rPr>
          <w:rFonts w:ascii="宋体" w:hAnsi="宋体"/>
          <w:color w:val="auto"/>
          <w:sz w:val="24"/>
          <w:szCs w:val="24"/>
        </w:rPr>
        <w:t>14</w:t>
      </w:r>
      <w:r>
        <w:rPr>
          <w:rFonts w:hint="eastAsia" w:ascii="宋体" w:hAnsi="宋体"/>
          <w:color w:val="auto"/>
          <w:sz w:val="24"/>
          <w:szCs w:val="24"/>
        </w:rPr>
        <w:t>）</w:t>
      </w:r>
      <w:r>
        <w:rPr>
          <w:rFonts w:hint="eastAsia" w:ascii="宋体" w:hAnsi="宋体" w:cs="宋体"/>
          <w:bCs/>
          <w:color w:val="auto"/>
          <w:sz w:val="24"/>
          <w:szCs w:val="24"/>
        </w:rPr>
        <w:t>其他</w:t>
      </w:r>
      <w:bookmarkStart w:id="10" w:name="_Hlk135317920"/>
      <w:r>
        <w:rPr>
          <w:rFonts w:hint="eastAsia" w:ascii="宋体" w:hAnsi="宋体" w:cs="宋体"/>
          <w:bCs/>
          <w:color w:val="auto"/>
          <w:sz w:val="24"/>
          <w:szCs w:val="24"/>
        </w:rPr>
        <w:t>与电梯相关的国家、行业和地方的法律法规、规范规程、标准、图集</w:t>
      </w:r>
      <w:bookmarkEnd w:id="10"/>
      <w:r>
        <w:rPr>
          <w:rFonts w:hint="eastAsia" w:ascii="宋体" w:hAnsi="宋体"/>
          <w:color w:val="auto"/>
          <w:sz w:val="24"/>
          <w:szCs w:val="24"/>
        </w:rPr>
        <w:t>。</w:t>
      </w:r>
    </w:p>
    <w:p w14:paraId="3218A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Arial"/>
          <w:color w:val="auto"/>
          <w:sz w:val="24"/>
          <w:szCs w:val="24"/>
        </w:rPr>
      </w:pPr>
      <w:r>
        <w:rPr>
          <w:rFonts w:hint="eastAsia" w:ascii="宋体" w:hAnsi="宋体" w:cs="宋体"/>
          <w:bCs/>
          <w:color w:val="auto"/>
          <w:sz w:val="24"/>
          <w:szCs w:val="24"/>
        </w:rPr>
        <w:t>上述规范及技术条件并非全部，如有停用或废止的，应以相应的最新版本为准。</w:t>
      </w:r>
    </w:p>
    <w:p w14:paraId="4545BB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color w:val="auto"/>
          <w:sz w:val="24"/>
          <w:szCs w:val="24"/>
          <w:highlight w:val="none"/>
        </w:rPr>
      </w:pPr>
      <w:r>
        <w:rPr>
          <w:rFonts w:ascii="宋体" w:hAnsi="宋体" w:cs="Arial"/>
          <w:color w:val="auto"/>
          <w:sz w:val="24"/>
          <w:szCs w:val="24"/>
        </w:rPr>
        <w:t>本次招标的电梯</w:t>
      </w:r>
      <w:r>
        <w:rPr>
          <w:rFonts w:hint="eastAsia" w:ascii="宋体" w:hAnsi="宋体" w:cs="Arial"/>
          <w:color w:val="auto"/>
          <w:sz w:val="24"/>
          <w:szCs w:val="24"/>
        </w:rPr>
        <w:t>要求为未使用过的全新产品。</w:t>
      </w:r>
    </w:p>
    <w:p w14:paraId="0B656E12">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b/>
          <w:bCs/>
          <w:color w:val="auto"/>
          <w:sz w:val="28"/>
          <w:szCs w:val="28"/>
          <w:highlight w:val="none"/>
        </w:rPr>
      </w:pPr>
      <w:r>
        <w:rPr>
          <w:rFonts w:hint="eastAsia" w:ascii="宋体" w:hAnsi="宋体"/>
          <w:b/>
          <w:bCs/>
          <w:color w:val="auto"/>
          <w:sz w:val="28"/>
          <w:szCs w:val="28"/>
          <w:highlight w:val="none"/>
          <w:lang w:val="en-US" w:eastAsia="zh-CN"/>
        </w:rPr>
        <w:t>四</w:t>
      </w:r>
      <w:r>
        <w:rPr>
          <w:rFonts w:ascii="宋体" w:hAnsi="宋体"/>
          <w:b/>
          <w:bCs/>
          <w:color w:val="auto"/>
          <w:sz w:val="28"/>
          <w:szCs w:val="28"/>
          <w:highlight w:val="none"/>
        </w:rPr>
        <w:t>、</w:t>
      </w:r>
      <w:r>
        <w:rPr>
          <w:rFonts w:hint="eastAsia" w:ascii="宋体" w:hAnsi="宋体"/>
          <w:b/>
          <w:bCs/>
          <w:color w:val="auto"/>
          <w:sz w:val="28"/>
          <w:szCs w:val="28"/>
          <w:highlight w:val="none"/>
        </w:rPr>
        <w:t>商务</w:t>
      </w:r>
      <w:r>
        <w:rPr>
          <w:rFonts w:ascii="宋体" w:hAnsi="宋体"/>
          <w:b/>
          <w:bCs/>
          <w:color w:val="auto"/>
          <w:sz w:val="28"/>
          <w:szCs w:val="28"/>
          <w:highlight w:val="none"/>
        </w:rPr>
        <w:t>要求</w:t>
      </w:r>
    </w:p>
    <w:p w14:paraId="67B9456B">
      <w:pPr>
        <w:widowControl/>
        <w:spacing w:line="360" w:lineRule="auto"/>
        <w:ind w:firstLine="480"/>
        <w:jc w:val="left"/>
        <w:rPr>
          <w:rFonts w:hint="eastAsia" w:ascii="宋体" w:hAnsi="宋体" w:eastAsia="宋体" w:cs="宋体"/>
          <w:b/>
          <w:bCs w:val="0"/>
          <w:color w:val="auto"/>
          <w:sz w:val="24"/>
          <w:szCs w:val="24"/>
          <w:lang w:val="en-US" w:eastAsia="zh-CN"/>
        </w:rPr>
      </w:pPr>
      <w:r>
        <w:rPr>
          <w:rFonts w:hint="eastAsia" w:ascii="宋体" w:hAnsi="宋体" w:cs="宋体"/>
          <w:color w:val="auto"/>
          <w:sz w:val="24"/>
        </w:rPr>
        <w:t xml:space="preserve"> </w:t>
      </w:r>
      <w:r>
        <w:rPr>
          <w:rFonts w:hint="eastAsia" w:ascii="宋体" w:hAnsi="宋体" w:cs="宋体"/>
          <w:b/>
          <w:bCs w:val="0"/>
          <w:color w:val="auto"/>
          <w:sz w:val="24"/>
          <w:szCs w:val="24"/>
          <w:lang w:val="en-US" w:eastAsia="zh-CN"/>
        </w:rPr>
        <w:t>（一）</w:t>
      </w:r>
      <w:r>
        <w:rPr>
          <w:rFonts w:hint="eastAsia" w:ascii="宋体" w:hAnsi="宋体" w:eastAsia="宋体" w:cs="宋体"/>
          <w:b/>
          <w:bCs w:val="0"/>
          <w:color w:val="auto"/>
          <w:sz w:val="24"/>
          <w:szCs w:val="24"/>
          <w:lang w:val="en-US" w:eastAsia="zh-CN"/>
        </w:rPr>
        <w:t>包装与储运要求</w:t>
      </w:r>
    </w:p>
    <w:p w14:paraId="08D46929">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包装与保护</w:t>
      </w:r>
    </w:p>
    <w:p w14:paraId="0E118679">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投标方应确保所提供的货物在装、卸、运输和储存过程中有足够的包装保护，防止货物受潮、生锈、被腐蚀、受到冲撞以及其他不可预见的损坏。货物的包装应为生产厂商出厂时的原包装，并符合相关国家标准。</w:t>
      </w:r>
    </w:p>
    <w:p w14:paraId="70B90691">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货物装箱清单及文件</w:t>
      </w:r>
    </w:p>
    <w:p w14:paraId="407FA5E8">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货物包装箱内必须附有详细的装箱清单，主机、附件、各种零部件和消耗品有清楚的与装箱单相对应的名称和编号。在包装箱中必须有招标文件所要求的所有文件和资料。</w:t>
      </w:r>
    </w:p>
    <w:p w14:paraId="50F7CD63">
      <w:pPr>
        <w:spacing w:line="360" w:lineRule="auto"/>
        <w:ind w:firstLine="480"/>
        <w:rPr>
          <w:rFonts w:hint="eastAsia" w:ascii="宋体" w:hAnsi="宋体"/>
          <w:b/>
          <w:bCs/>
          <w:color w:val="auto"/>
          <w:sz w:val="24"/>
          <w:szCs w:val="24"/>
        </w:rPr>
      </w:pPr>
      <w:r>
        <w:rPr>
          <w:rFonts w:hint="eastAsia" w:ascii="宋体" w:hAnsi="宋体"/>
          <w:b/>
          <w:bCs/>
          <w:color w:val="auto"/>
          <w:sz w:val="24"/>
          <w:szCs w:val="24"/>
        </w:rPr>
        <w:t>（</w:t>
      </w:r>
      <w:r>
        <w:rPr>
          <w:rFonts w:hint="eastAsia" w:ascii="宋体" w:hAnsi="宋体"/>
          <w:b/>
          <w:bCs/>
          <w:color w:val="auto"/>
          <w:sz w:val="24"/>
          <w:szCs w:val="24"/>
          <w:lang w:val="en-US" w:eastAsia="zh-CN"/>
        </w:rPr>
        <w:t>二</w:t>
      </w:r>
      <w:r>
        <w:rPr>
          <w:rFonts w:hint="eastAsia" w:ascii="宋体" w:hAnsi="宋体"/>
          <w:b/>
          <w:bCs/>
          <w:color w:val="auto"/>
          <w:sz w:val="24"/>
          <w:szCs w:val="24"/>
        </w:rPr>
        <w:t>）交货期、交货方式及交货地点</w:t>
      </w:r>
    </w:p>
    <w:p w14:paraId="7AB525BA">
      <w:pPr>
        <w:spacing w:line="360" w:lineRule="auto"/>
        <w:ind w:firstLine="48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交货期：</w:t>
      </w:r>
      <w:r>
        <w:rPr>
          <w:rFonts w:hint="eastAsia" w:ascii="宋体" w:hAnsi="宋体" w:cs="宋体"/>
          <w:b w:val="0"/>
          <w:bCs w:val="0"/>
          <w:color w:val="auto"/>
          <w:sz w:val="24"/>
          <w:highlight w:val="none"/>
        </w:rPr>
        <w:t>合同签订后</w:t>
      </w:r>
      <w:r>
        <w:rPr>
          <w:rFonts w:hint="eastAsia" w:ascii="宋体" w:hAnsi="宋体" w:cs="宋体"/>
          <w:b w:val="0"/>
          <w:bCs w:val="0"/>
          <w:color w:val="auto"/>
          <w:sz w:val="24"/>
          <w:highlight w:val="none"/>
          <w:lang w:val="en-US" w:eastAsia="zh-CN"/>
        </w:rPr>
        <w:t>60日历天内完成供货安装调试</w:t>
      </w:r>
      <w:r>
        <w:rPr>
          <w:rFonts w:hint="eastAsia" w:ascii="宋体" w:hAnsi="宋体" w:cs="宋体"/>
          <w:b w:val="0"/>
          <w:bCs w:val="0"/>
          <w:color w:val="auto"/>
          <w:sz w:val="24"/>
          <w:highlight w:val="none"/>
        </w:rPr>
        <w:t>。</w:t>
      </w:r>
    </w:p>
    <w:p w14:paraId="0EAE7E00">
      <w:pPr>
        <w:spacing w:line="360" w:lineRule="auto"/>
        <w:ind w:firstLine="48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交货地点：采购人指定地点，由供应商负责办理运输和装卸等，费用由供应商负责，采购人组织验收，检验不合格或不符合质量要求，供应商除无条件退货、返工外，还应承担采购人由此造成的一切损失。</w:t>
      </w:r>
    </w:p>
    <w:p w14:paraId="608AABD0">
      <w:pPr>
        <w:spacing w:line="360" w:lineRule="auto"/>
        <w:ind w:firstLine="480"/>
        <w:rPr>
          <w:rFonts w:ascii="宋体" w:hAnsi="宋体"/>
          <w:b/>
          <w:bCs/>
          <w:color w:val="auto"/>
          <w:sz w:val="24"/>
          <w:szCs w:val="24"/>
          <w:highlight w:val="none"/>
        </w:rPr>
      </w:pPr>
      <w:r>
        <w:rPr>
          <w:rFonts w:hint="eastAsia" w:ascii="宋体" w:hAnsi="宋体"/>
          <w:b/>
          <w:bCs/>
          <w:color w:val="auto"/>
          <w:sz w:val="24"/>
          <w:szCs w:val="24"/>
        </w:rPr>
        <w:t>（</w:t>
      </w:r>
      <w:r>
        <w:rPr>
          <w:rFonts w:hint="eastAsia" w:ascii="宋体" w:hAnsi="宋体"/>
          <w:b/>
          <w:bCs/>
          <w:color w:val="auto"/>
          <w:sz w:val="24"/>
          <w:szCs w:val="24"/>
          <w:lang w:val="en-US" w:eastAsia="zh-CN"/>
        </w:rPr>
        <w:t>三</w:t>
      </w:r>
      <w:r>
        <w:rPr>
          <w:rFonts w:hint="eastAsia" w:ascii="宋体" w:hAnsi="宋体"/>
          <w:b/>
          <w:bCs/>
          <w:color w:val="auto"/>
          <w:sz w:val="24"/>
          <w:szCs w:val="24"/>
        </w:rPr>
        <w:t>）付款方式</w:t>
      </w:r>
    </w:p>
    <w:p w14:paraId="7DA6FE59">
      <w:pPr>
        <w:pStyle w:val="1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预付款，签订合同后支付合同总价款的30%；</w:t>
      </w:r>
    </w:p>
    <w:p w14:paraId="551CA5FC">
      <w:pPr>
        <w:pStyle w:val="10"/>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进度款：</w:t>
      </w:r>
      <w:r>
        <w:rPr>
          <w:rFonts w:hint="eastAsia" w:ascii="宋体" w:hAnsi="宋体" w:eastAsia="宋体" w:cs="宋体"/>
          <w:b w:val="0"/>
          <w:bCs w:val="0"/>
          <w:color w:val="auto"/>
          <w:sz w:val="24"/>
          <w:szCs w:val="22"/>
          <w:highlight w:val="none"/>
          <w:lang w:val="en-US" w:eastAsia="zh-CN" w:bidi="ar-SA"/>
        </w:rPr>
        <w:t>设备安装进度至50%支付至合同价款的50%，全部安装完毕付至合同价款的90%，特种设备安全监督部门验收合格、取得“电梯使用登记标志”后付清余款。</w:t>
      </w:r>
    </w:p>
    <w:p w14:paraId="75350D08">
      <w:pPr>
        <w:pStyle w:val="10"/>
        <w:spacing w:line="480" w:lineRule="exact"/>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（1）可以采用数字人民币支付。</w:t>
      </w:r>
    </w:p>
    <w:p w14:paraId="541BD51D">
      <w:pPr>
        <w:pStyle w:val="10"/>
        <w:spacing w:line="480" w:lineRule="exact"/>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（2）资金支付的时间：收到供应商发票10个工作日内。</w:t>
      </w:r>
    </w:p>
    <w:p w14:paraId="4797C83C">
      <w:pPr>
        <w:pStyle w:val="10"/>
        <w:spacing w:line="480" w:lineRule="exact"/>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（3）资金支付的条件：满足相应阶段的要求且收到供应商发票。</w:t>
      </w:r>
    </w:p>
    <w:p w14:paraId="2CFD2645">
      <w:pPr>
        <w:pStyle w:val="10"/>
        <w:spacing w:line="480" w:lineRule="exact"/>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（4）在签订合同时，供应商明确表示无需预付款或者主动要求降低预付款比例的，采购人可不适用前述规定。</w:t>
      </w:r>
    </w:p>
    <w:p w14:paraId="05DA2EC7">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Times New Roman"/>
          <w:b/>
          <w:bCs/>
          <w:color w:val="auto"/>
          <w:sz w:val="28"/>
          <w:szCs w:val="28"/>
          <w:highlight w:val="none"/>
        </w:rPr>
      </w:pPr>
      <w:bookmarkStart w:id="11" w:name="_Hlk187855282"/>
      <w:r>
        <w:rPr>
          <w:rFonts w:hint="eastAsia" w:ascii="宋体" w:hAnsi="宋体" w:eastAsia="宋体" w:cs="Times New Roman"/>
          <w:b/>
          <w:bCs/>
          <w:color w:val="auto"/>
          <w:sz w:val="28"/>
          <w:szCs w:val="28"/>
          <w:highlight w:val="none"/>
          <w:lang w:val="en-US" w:eastAsia="zh-CN"/>
        </w:rPr>
        <w:t>五</w:t>
      </w:r>
      <w:r>
        <w:rPr>
          <w:rFonts w:hint="eastAsia" w:ascii="宋体" w:hAnsi="宋体" w:eastAsia="宋体" w:cs="Times New Roman"/>
          <w:b/>
          <w:bCs/>
          <w:color w:val="auto"/>
          <w:sz w:val="28"/>
          <w:szCs w:val="28"/>
          <w:highlight w:val="none"/>
        </w:rPr>
        <w:t>、验收标准</w:t>
      </w:r>
    </w:p>
    <w:bookmarkEnd w:id="11"/>
    <w:p w14:paraId="7B2C8798">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bookmarkStart w:id="12" w:name="OLE_LINK9"/>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鉴定和验收</w:t>
      </w:r>
    </w:p>
    <w:p w14:paraId="2917DE96">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现场验收：设备、附件及备件的开箱检验，应在货物到达交货地点后10天内在合同指定的现场完成。</w:t>
      </w:r>
    </w:p>
    <w:p w14:paraId="43515091">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场地环境：货物到达安装现场后，按有关技术规程的规定存放和保管，如投标方有特殊要求，应向招标方及早提出。</w:t>
      </w:r>
    </w:p>
    <w:p w14:paraId="5A6BAEE8">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安装调试：货物应由投标方负责在招标方建筑工地现场进行安装、调试及运行，经当地相关部门电梯检测合格后交付招标方使用。一切在安装、调试过程中造成的货物损坏，责任均在投标方。</w:t>
      </w:r>
    </w:p>
    <w:p w14:paraId="0E2C10CE">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设备的检验和验收： 投标方除对标书规定的电梯设备提供重要关键零部件的制造质量检测报告外，在标书中确定的安装地安装完毕后，招标方要求对整机的性能至少</w:t>
      </w:r>
      <w:r>
        <w:rPr>
          <w:rFonts w:hint="eastAsia" w:ascii="宋体" w:hAnsi="宋体" w:cs="宋体"/>
          <w:color w:val="auto"/>
          <w:sz w:val="24"/>
          <w:szCs w:val="24"/>
          <w:lang w:eastAsia="zh-CN"/>
        </w:rPr>
        <w:t>做以下</w:t>
      </w:r>
      <w:r>
        <w:rPr>
          <w:rFonts w:hint="eastAsia" w:ascii="宋体" w:hAnsi="宋体" w:eastAsia="宋体" w:cs="宋体"/>
          <w:color w:val="auto"/>
          <w:sz w:val="24"/>
          <w:szCs w:val="24"/>
        </w:rPr>
        <w:t>第</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项的检验。试验结果必须符合我国电梯制造与安装安全规范（GB10058，GB10060）以及投标方提供的制造与安装标准和技术规范要求。</w:t>
      </w:r>
    </w:p>
    <w:p w14:paraId="6483CF24">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检验</w:t>
      </w:r>
      <w:r>
        <w:rPr>
          <w:rFonts w:hint="eastAsia" w:ascii="宋体" w:hAnsi="宋体" w:cs="宋体"/>
          <w:color w:val="auto"/>
          <w:sz w:val="24"/>
          <w:szCs w:val="24"/>
          <w:lang w:val="en-US" w:eastAsia="zh-CN"/>
        </w:rPr>
        <w:t>要求</w:t>
      </w:r>
      <w:r>
        <w:rPr>
          <w:rFonts w:hint="eastAsia" w:ascii="宋体" w:hAnsi="宋体" w:eastAsia="宋体" w:cs="宋体"/>
          <w:color w:val="auto"/>
          <w:sz w:val="24"/>
          <w:szCs w:val="24"/>
        </w:rPr>
        <w:t>：</w:t>
      </w:r>
    </w:p>
    <w:p w14:paraId="3718A4F9">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按投标方提供的文件与已安装完毕的电梯比较；</w:t>
      </w:r>
    </w:p>
    <w:p w14:paraId="559F9E84">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对外观及无特殊要求的部件制造、安装质量，进行直观检查；</w:t>
      </w:r>
    </w:p>
    <w:p w14:paraId="33F914F3">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于门锁装置、控制柜、限速器、安全钳、缓冲器等部件，投标方必须提供鉴定合格证的副本，并将其合格证详细内容与电梯特殊性进行比较。</w:t>
      </w:r>
    </w:p>
    <w:p w14:paraId="264C4146">
      <w:pPr>
        <w:pStyle w:val="9"/>
        <w:keepNext w:val="0"/>
        <w:keepLines w:val="0"/>
        <w:pageBreakBefore w:val="0"/>
        <w:tabs>
          <w:tab w:val="left" w:pos="68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设备安装调试合格后，由投标方负责联系使用地国家法定检验部门，会同招标方按国家有关标准进行联合验收，并办理使用许可证。</w:t>
      </w:r>
    </w:p>
    <w:bookmarkEnd w:id="12"/>
    <w:p w14:paraId="49427773">
      <w:pPr>
        <w:widowControl/>
        <w:spacing w:line="360" w:lineRule="auto"/>
        <w:jc w:val="left"/>
        <w:outlineLvl w:val="1"/>
        <w:rPr>
          <w:rFonts w:hint="eastAsia" w:ascii="宋体" w:hAnsi="宋体" w:cs="宋体"/>
          <w:color w:val="auto"/>
          <w:sz w:val="24"/>
        </w:rPr>
      </w:pPr>
      <w:r>
        <w:rPr>
          <w:rFonts w:hint="eastAsia" w:ascii="宋体" w:hAnsi="宋体" w:eastAsia="宋体" w:cs="Times New Roman"/>
          <w:b/>
          <w:bCs/>
          <w:color w:val="auto"/>
          <w:sz w:val="28"/>
          <w:szCs w:val="28"/>
          <w:highlight w:val="none"/>
          <w:lang w:val="en-US" w:eastAsia="zh-CN"/>
        </w:rPr>
        <w:t>六、</w:t>
      </w:r>
      <w:r>
        <w:rPr>
          <w:rFonts w:hint="eastAsia" w:ascii="宋体" w:hAnsi="宋体" w:cs="宋体"/>
          <w:b/>
          <w:bCs/>
          <w:color w:val="auto"/>
          <w:sz w:val="24"/>
        </w:rPr>
        <w:t>项目实施方案</w:t>
      </w:r>
    </w:p>
    <w:p w14:paraId="4276EE3D">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 xml:space="preserve">1、项目实施方案：投标人应按照招标文件要求制定详细的项目实施方案，包括但不限于涉及人员组成、质量保障措施、设备安装调试验收、风险预防及控制措施、突发事件处置方案以及原设备拆除等内容。方案应完全满足招标文件对项目实施的要求，结构严谨，内容完整详实，能够针对采购项目内容要求而细化制定。 </w:t>
      </w:r>
    </w:p>
    <w:p w14:paraId="20B98D16">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2、进度计划及保障措施：投标人应根据招标文件要求及</w:t>
      </w:r>
      <w:r>
        <w:rPr>
          <w:rFonts w:hint="eastAsia" w:ascii="宋体" w:hAnsi="宋体" w:cs="宋体"/>
          <w:color w:val="auto"/>
          <w:sz w:val="24"/>
          <w:lang w:val="en-US" w:eastAsia="zh-CN"/>
        </w:rPr>
        <w:t>业主</w:t>
      </w:r>
      <w:r>
        <w:rPr>
          <w:rFonts w:hint="eastAsia" w:ascii="宋体" w:hAnsi="宋体" w:cs="宋体"/>
          <w:color w:val="auto"/>
          <w:sz w:val="24"/>
        </w:rPr>
        <w:t>乘坐电梯需求等实际情况，</w:t>
      </w:r>
      <w:r>
        <w:rPr>
          <w:rFonts w:hint="eastAsia" w:ascii="宋体" w:hAnsi="宋体" w:cs="宋体"/>
          <w:color w:val="auto"/>
          <w:sz w:val="24"/>
          <w:lang w:eastAsia="zh-CN"/>
        </w:rPr>
        <w:t>以及</w:t>
      </w:r>
      <w:r>
        <w:rPr>
          <w:rFonts w:hint="eastAsia" w:ascii="宋体" w:hAnsi="宋体" w:cs="宋体"/>
          <w:color w:val="auto"/>
          <w:sz w:val="24"/>
        </w:rPr>
        <w:t>目前的供货及安装条件所</w:t>
      </w:r>
      <w:r>
        <w:rPr>
          <w:rFonts w:hint="eastAsia" w:ascii="宋体" w:hAnsi="宋体" w:cs="宋体"/>
          <w:color w:val="auto"/>
          <w:sz w:val="24"/>
          <w:lang w:eastAsia="zh-CN"/>
        </w:rPr>
        <w:t>需</w:t>
      </w:r>
      <w:r>
        <w:rPr>
          <w:rFonts w:hint="eastAsia" w:ascii="宋体" w:hAnsi="宋体" w:cs="宋体"/>
          <w:color w:val="auto"/>
          <w:sz w:val="24"/>
        </w:rPr>
        <w:t>配套人员及机械设备以保障产品供货、物流运输、产品到货日期、设备安装及调试等合同履行期限的要求,进度安排应详细、各环节衔接紧凑、保障措 施完备、方式方法应符合规范要求。</w:t>
      </w:r>
    </w:p>
    <w:p w14:paraId="7A69CBC6">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2.1具体的项目进度安排应符合本项目实际需要，确保在</w:t>
      </w:r>
      <w:r>
        <w:rPr>
          <w:rFonts w:hint="eastAsia" w:ascii="宋体" w:hAnsi="宋体" w:cs="宋体"/>
          <w:color w:val="auto"/>
          <w:sz w:val="24"/>
          <w:lang w:val="en-US" w:eastAsia="zh-CN"/>
        </w:rPr>
        <w:t>合同</w:t>
      </w:r>
      <w:r>
        <w:rPr>
          <w:rFonts w:hint="eastAsia" w:ascii="宋体" w:hAnsi="宋体" w:cs="宋体"/>
          <w:color w:val="auto"/>
          <w:sz w:val="24"/>
        </w:rPr>
        <w:t>规定的时间内完成。至少需要提供①生产方案需提供投标货物主要生产、检验、测量设备说明②供货计划需提供交货期及运输方案③进度控制需提供供货安装计划：</w:t>
      </w:r>
    </w:p>
    <w:p w14:paraId="7EAD733E">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（1）投标方中标后，应在接到招标方中标通知（合同签订）后一周内按标书要求提交详细的施工图及施工组织设计等。</w:t>
      </w:r>
    </w:p>
    <w:p w14:paraId="4F8F8776">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（2）设备订货合同签订后，由中标方厂家工程师到</w:t>
      </w:r>
      <w:r>
        <w:rPr>
          <w:rFonts w:hint="eastAsia" w:ascii="宋体" w:hAnsi="宋体" w:cs="宋体"/>
          <w:color w:val="auto"/>
          <w:sz w:val="24"/>
          <w:lang w:eastAsia="zh-CN"/>
        </w:rPr>
        <w:t>现场勘查</w:t>
      </w:r>
      <w:r>
        <w:rPr>
          <w:rFonts w:hint="eastAsia" w:ascii="宋体" w:hAnsi="宋体" w:cs="宋体"/>
          <w:color w:val="auto"/>
          <w:sz w:val="24"/>
        </w:rPr>
        <w:t>设计，所有尺寸以现场勘测的实际尺寸为准；到货后，中标方须派有资格的工程技术人员在整个电梯的安装调试的全过程中在施工现场负责安装、指导及调试，直至电梯最终验收合格并正常运行。若在安装过程中，由于中标方在安装过程中的责任导致建筑结构或其他设备被损坏，中标方需负责修理或赔偿损失。安装与调试中涉及的所有费用均应列入投标总价，而不能在执行中要求另外付费。</w:t>
      </w:r>
    </w:p>
    <w:p w14:paraId="1EF6B74D">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 xml:space="preserve">3、电梯专项安装方案：投标人应根据招标文件要求，电梯拆除针对本项目电梯井道的尺寸，结合电梯井道现场实际情况（如安装所需的基坑土建、电梯井道照明、电梯井防水、电梯井原有无用的设施设备拆除以及其周围墙面及瓷砖的修复等），提供有针对性的电梯钢结构井道现场施工安装方案及安全、质量保障措施,安装方案应完整、具体、流程及施工步骤、方法应符合规范要求。 </w:t>
      </w:r>
    </w:p>
    <w:p w14:paraId="3692028B">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3.1电梯的安装和调试要求需严格</w:t>
      </w:r>
      <w:r>
        <w:rPr>
          <w:rFonts w:hint="eastAsia" w:ascii="宋体" w:hAnsi="宋体" w:cs="宋体"/>
          <w:color w:val="auto"/>
          <w:sz w:val="24"/>
          <w:lang w:eastAsia="zh-CN"/>
        </w:rPr>
        <w:t>执行</w:t>
      </w:r>
      <w:r>
        <w:rPr>
          <w:rFonts w:hint="eastAsia" w:ascii="宋体" w:hAnsi="宋体" w:cs="宋体"/>
          <w:color w:val="auto"/>
          <w:sz w:val="24"/>
        </w:rPr>
        <w:t>与电梯相关的国家、行业和地方的法律法规、规范规程、标准、图集的要求：</w:t>
      </w:r>
    </w:p>
    <w:p w14:paraId="0300B520">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（1）对电梯井道进行防水改造，确保一年四季电梯井道干燥，保障电梯能及时安装和调试，确保电梯运行正常。如因中标人原因造成不能及时安装和调试，由中标人承担一切责任和损失。</w:t>
      </w:r>
    </w:p>
    <w:p w14:paraId="1754F408">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（2）所投电梯必须符合中华人民共和国电梯制造与安全规范的制造、安装标准和技术规范要求，中标人须提供采购人所在地质量技术监督部门的验收合格证、运行证等。</w:t>
      </w:r>
    </w:p>
    <w:p w14:paraId="16F4A60B">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（3）本次采购规定的电梯设备，由中标人负责运输到项目现场，并进行整机安装、调试及试运行，政府验收合格后交付采购人。</w:t>
      </w:r>
    </w:p>
    <w:p w14:paraId="2D588B72">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（4）投标人依据现场实际情况和招标文件的要求，提供具体详实的项目实施方案（必须含自收到中标通知书之日起的项目进度计划表）。</w:t>
      </w:r>
    </w:p>
    <w:p w14:paraId="265044EC">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4、电梯应急预案：投标人应按照招标文件要求制定详细的电梯应急预案，电梯安装、维保工作是特种作业，安全性要求极高，在各种工作中会出现各种各样的紧急情况，这就要求投标人对紧急情况的出现要时刻做好准备。安全第一，预防为主，出现情况能及时处置，为做到这些，投标人需根据国家标准，行业标准及市各职能部门的要求，制定应急处理方案。</w:t>
      </w:r>
    </w:p>
    <w:p w14:paraId="5BF0FC0B">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4.1接到报警或发现有乘客被困在电梯内，应立即通知保安消防监控室，同时记录接报和发现时间。</w:t>
      </w:r>
    </w:p>
    <w:p w14:paraId="69D15AB2">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4.2维修单位经理或值班人员接报后，应立即派人前往现场解救，同时电话通知电梯维修公司前来抢修。</w:t>
      </w:r>
    </w:p>
    <w:p w14:paraId="01C127A8">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4.3若维修单位和电梯维修公司都无能力解救或短期时间内解救不了，应视情况向公安部门或消防部门求助（应说明求助原因和情况）。向公安、消防部门求助前应征得甲方的同意。</w:t>
      </w:r>
    </w:p>
    <w:p w14:paraId="45B73477">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4.4在解救过程中，若发现被困乘客中有人晕厥、神志昏迷（尤其是老人或小孩），应立即通知医护人员到场，以便被困人员救出后即可进⾏抢救。</w:t>
      </w:r>
    </w:p>
    <w:p w14:paraId="59CD9389">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4.5被困者救出后，应立即请电梯维修公司查明故障原因，修复后方可恢复正常运⾏。</w:t>
      </w:r>
    </w:p>
    <w:p w14:paraId="38C0EEA5">
      <w:pPr>
        <w:widowControl/>
        <w:spacing w:line="360" w:lineRule="auto"/>
        <w:ind w:firstLine="480"/>
        <w:jc w:val="left"/>
        <w:rPr>
          <w:rFonts w:hint="eastAsia" w:ascii="宋体" w:hAnsi="宋体" w:cs="宋体"/>
          <w:color w:val="auto"/>
          <w:sz w:val="24"/>
        </w:rPr>
      </w:pPr>
      <w:r>
        <w:rPr>
          <w:rFonts w:hint="eastAsia" w:ascii="宋体" w:hAnsi="宋体" w:cs="宋体"/>
          <w:color w:val="auto"/>
          <w:sz w:val="24"/>
        </w:rPr>
        <w:t>4.6维修单位经理或值班人员应详细记录故障发生时间、原因、解救办法和修复时间。</w:t>
      </w:r>
    </w:p>
    <w:p w14:paraId="0570270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七、售后服务及维保要求</w:t>
      </w:r>
    </w:p>
    <w:p w14:paraId="4B7999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rPr>
      </w:pPr>
      <w:r>
        <w:rPr>
          <w:rFonts w:hint="eastAsia" w:ascii="宋体" w:hAnsi="宋体" w:cs="宋体"/>
          <w:color w:val="auto"/>
          <w:sz w:val="24"/>
        </w:rPr>
        <w:t xml:space="preserve">1.售后服务方案：投标人应按照招标文件要求制定切实可行的售后服务方案，包括但不限于服务保障体系、技术人员配置、响应时间、紧急故障处理预案、电梯常规检查及保养、日常使用注意事项等内容，方案应满足招标文件对项目实施的要求，方案内容完整详细、故障响应时间迅速，能够针对采购项目内容要求而细化制定。 </w:t>
      </w:r>
    </w:p>
    <w:p w14:paraId="6A50C99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2.售后服务期内提供 7*24 小时免费上门服务:在接到使用方报修电话后 2 小时内予以响应，24 小时现场解决问题。4 小时内不予以响应，采购人将自行采取必要的措施，由此产</w:t>
      </w:r>
      <w:r>
        <w:rPr>
          <w:rFonts w:hint="eastAsia" w:ascii="宋体" w:hAnsi="宋体" w:cs="宋体"/>
          <w:color w:val="auto"/>
          <w:sz w:val="24"/>
          <w:lang w:eastAsia="zh-CN"/>
        </w:rPr>
        <w:t>生的</w:t>
      </w:r>
      <w:r>
        <w:rPr>
          <w:rFonts w:hint="eastAsia" w:ascii="宋体" w:hAnsi="宋体" w:cs="宋体"/>
          <w:color w:val="auto"/>
          <w:sz w:val="24"/>
        </w:rPr>
        <w:t xml:space="preserve">风险和费用由中标人承担。48 小时内不能现场解决问题的，必须提供备品备件，以确保使用方正常工作。 </w:t>
      </w:r>
    </w:p>
    <w:p w14:paraId="33C8D3E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b/>
          <w:bCs/>
          <w:color w:val="auto"/>
          <w:sz w:val="24"/>
          <w:szCs w:val="24"/>
        </w:rPr>
      </w:pPr>
      <w:r>
        <w:rPr>
          <w:rFonts w:hint="eastAsia" w:ascii="宋体" w:hAnsi="宋体"/>
          <w:b/>
          <w:bCs/>
          <w:color w:val="auto"/>
          <w:sz w:val="24"/>
          <w:szCs w:val="24"/>
        </w:rPr>
        <w:t>（一）质保及售后技术服务要求</w:t>
      </w:r>
    </w:p>
    <w:p w14:paraId="0420EA0C">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、质量保证</w:t>
      </w:r>
    </w:p>
    <w:p w14:paraId="6F88056A">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.1 投标方提供的所有货物在设计、制造、产品性能、材料的选择和材料的检验及产品的测试等方面均须符合最新发布的国家标准和技术规范。投标人在投标书中应对货物的质量保证体系和适用的标准</w:t>
      </w:r>
      <w:r>
        <w:rPr>
          <w:rFonts w:hint="eastAsia" w:ascii="宋体" w:hAnsi="宋体" w:cs="宋体"/>
          <w:bCs/>
          <w:color w:val="auto"/>
          <w:sz w:val="24"/>
          <w:szCs w:val="24"/>
          <w:lang w:val="en-US" w:eastAsia="zh-CN"/>
        </w:rPr>
        <w:t>作出</w:t>
      </w:r>
      <w:r>
        <w:rPr>
          <w:rFonts w:hint="eastAsia" w:ascii="宋体" w:hAnsi="宋体" w:eastAsia="宋体" w:cs="宋体"/>
          <w:bCs/>
          <w:color w:val="auto"/>
          <w:sz w:val="24"/>
          <w:szCs w:val="24"/>
          <w:lang w:val="en-US" w:eastAsia="zh-CN"/>
        </w:rPr>
        <w:t>说明。</w:t>
      </w:r>
    </w:p>
    <w:p w14:paraId="01FC9DDE">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.2 投标方所提供的技术规格应与招标文件技术规格规定的标准相一致或优于招标文件技术规格。若技术规格中无相应的规定，货物则应符合相应的国家标准或其原厂家最新颁布的相应的正式标准。</w:t>
      </w:r>
    </w:p>
    <w:p w14:paraId="0F86E700">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.3 电梯整机质量保证期：</w:t>
      </w:r>
      <w:r>
        <w:rPr>
          <w:rFonts w:hint="eastAsia" w:ascii="宋体" w:hAnsi="宋体" w:cs="宋体"/>
          <w:bCs/>
          <w:color w:val="auto"/>
          <w:sz w:val="24"/>
          <w:szCs w:val="24"/>
          <w:lang w:val="en-US" w:eastAsia="zh-CN"/>
        </w:rPr>
        <w:t>不少于</w:t>
      </w:r>
      <w:r>
        <w:rPr>
          <w:rFonts w:hint="eastAsia" w:ascii="宋体" w:hAnsi="宋体" w:cs="宋体"/>
          <w:b/>
          <w:bCs w:val="0"/>
          <w:color w:val="auto"/>
          <w:sz w:val="24"/>
          <w:szCs w:val="24"/>
          <w:u w:val="single"/>
          <w:lang w:val="en-US" w:eastAsia="zh-CN"/>
        </w:rPr>
        <w:t>36</w:t>
      </w:r>
      <w:r>
        <w:rPr>
          <w:rFonts w:hint="eastAsia" w:ascii="宋体" w:hAnsi="宋体" w:eastAsia="宋体" w:cs="宋体"/>
          <w:b/>
          <w:bCs w:val="0"/>
          <w:color w:val="auto"/>
          <w:sz w:val="24"/>
          <w:szCs w:val="24"/>
          <w:u w:val="single"/>
          <w:lang w:val="en-US" w:eastAsia="zh-CN"/>
        </w:rPr>
        <w:t>个月</w:t>
      </w:r>
      <w:r>
        <w:rPr>
          <w:rFonts w:hint="eastAsia" w:ascii="宋体" w:hAnsi="宋体" w:eastAsia="宋体" w:cs="宋体"/>
          <w:bCs/>
          <w:color w:val="auto"/>
          <w:sz w:val="24"/>
          <w:szCs w:val="24"/>
          <w:lang w:val="en-US" w:eastAsia="zh-CN"/>
        </w:rPr>
        <w:t>（自电梯验收取证之日算起）。在质量保证期内，招标方按照系统使用说明书，在正常条件下使用，由于投标方设计或制造上的缺陷而发生的损坏由投标方负责。</w:t>
      </w:r>
    </w:p>
    <w:p w14:paraId="43E90594">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、技术支持和服务</w:t>
      </w:r>
    </w:p>
    <w:p w14:paraId="3A13CC59">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.1计划</w:t>
      </w:r>
    </w:p>
    <w:p w14:paraId="56993D01">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在合同生效后的15天内，中标人应向</w:t>
      </w:r>
      <w:r>
        <w:rPr>
          <w:rFonts w:hint="eastAsia" w:ascii="宋体" w:hAnsi="宋体" w:cs="宋体"/>
          <w:bCs/>
          <w:color w:val="auto"/>
          <w:sz w:val="24"/>
          <w:szCs w:val="24"/>
          <w:lang w:val="en-US" w:eastAsia="zh-CN"/>
        </w:rPr>
        <w:t>采购人</w:t>
      </w:r>
      <w:r>
        <w:rPr>
          <w:rFonts w:hint="eastAsia" w:ascii="宋体" w:hAnsi="宋体" w:eastAsia="宋体" w:cs="宋体"/>
          <w:bCs/>
          <w:color w:val="auto"/>
          <w:sz w:val="24"/>
          <w:szCs w:val="24"/>
          <w:lang w:val="en-US" w:eastAsia="zh-CN"/>
        </w:rPr>
        <w:t>提供一份详尽的“工作进度表”，该进度表应含：交货时间表，安装、调试计划和时间表，对招标方人员的培训计划等，并在“工作计划表”中说明招标方应具备的安装条件。</w:t>
      </w:r>
    </w:p>
    <w:p w14:paraId="4D39BD89">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.2培训</w:t>
      </w:r>
    </w:p>
    <w:p w14:paraId="0BBF61D4">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 中标人应免费为招标方培训设备维修及操作人员3名，使招标方能够尽快地熟悉设备的性能和使用，直至能够独立操作。时间和地点由投标方自报。</w:t>
      </w:r>
    </w:p>
    <w:p w14:paraId="0A76B6BA">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质量保证期内的服务</w:t>
      </w:r>
    </w:p>
    <w:p w14:paraId="7749156E">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3.1零、部件更换</w:t>
      </w:r>
    </w:p>
    <w:p w14:paraId="5EA1176F">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对由于零、部件质量问题造成的零、部件损坏，投标方将提供现场服务，免费维修更换损坏的零、部件。由于招标方人为原因造成的零、部件损坏，投标方有义务对损坏零、部件作有偿的维修更换。更换后的质量保证期不少于一年。质保期内的易损件、消耗品由投标方免费提供。</w:t>
      </w:r>
    </w:p>
    <w:p w14:paraId="38FABE28">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3.2故障响应</w:t>
      </w:r>
    </w:p>
    <w:p w14:paraId="18D550EF">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中标人所提供的设备在质量保证期内发生故障时，招标方应立即通知中标方。对于操作故障，中标方应在接到故障通知1小时内给予解答</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对于设备故障，中标方应在接到故障通知后4小时内派技术人员到达现场。在接到招标方故障通知后，若投标方在应该到达现场的情况下而未能到达现场，招标方有权另请有资质的单位维修，其费用由中标方承担。</w:t>
      </w:r>
    </w:p>
    <w:p w14:paraId="61C67075">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3.3软件升级</w:t>
      </w:r>
    </w:p>
    <w:p w14:paraId="4D0123A6">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 中标人有责任及时向</w:t>
      </w:r>
      <w:r>
        <w:rPr>
          <w:rFonts w:hint="eastAsia" w:ascii="宋体" w:hAnsi="宋体" w:cs="宋体"/>
          <w:bCs/>
          <w:color w:val="auto"/>
          <w:sz w:val="24"/>
          <w:szCs w:val="24"/>
          <w:lang w:val="en-US" w:eastAsia="zh-CN"/>
        </w:rPr>
        <w:t>采购</w:t>
      </w:r>
      <w:r>
        <w:rPr>
          <w:rFonts w:hint="eastAsia" w:ascii="宋体" w:hAnsi="宋体" w:eastAsia="宋体" w:cs="宋体"/>
          <w:bCs/>
          <w:color w:val="auto"/>
          <w:sz w:val="24"/>
          <w:szCs w:val="24"/>
          <w:lang w:val="en-US" w:eastAsia="zh-CN"/>
        </w:rPr>
        <w:t>方通报软件升级情况，中标人应免费提供软件升级服务。</w:t>
      </w:r>
    </w:p>
    <w:p w14:paraId="4AAFD4DC">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质保期满后的售后服务</w:t>
      </w:r>
    </w:p>
    <w:p w14:paraId="0CE0AD04">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4.1中标方对中标货物及服务在质保期满后，中标方应继续对</w:t>
      </w:r>
      <w:r>
        <w:rPr>
          <w:rFonts w:hint="eastAsia" w:ascii="宋体" w:hAnsi="宋体" w:cs="宋体"/>
          <w:bCs/>
          <w:color w:val="auto"/>
          <w:sz w:val="24"/>
          <w:szCs w:val="24"/>
          <w:lang w:val="en-US" w:eastAsia="zh-CN"/>
        </w:rPr>
        <w:t>采购</w:t>
      </w:r>
      <w:r>
        <w:rPr>
          <w:rFonts w:hint="eastAsia" w:ascii="宋体" w:hAnsi="宋体" w:eastAsia="宋体" w:cs="宋体"/>
          <w:bCs/>
          <w:color w:val="auto"/>
          <w:sz w:val="24"/>
          <w:szCs w:val="24"/>
          <w:lang w:val="en-US" w:eastAsia="zh-CN"/>
        </w:rPr>
        <w:t>方使用过程中的设备损坏进行售后服务，履行好自己在投标文件中的承诺。</w:t>
      </w:r>
    </w:p>
    <w:p w14:paraId="3F2AA149">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4.2设备要求实行终身保修，质量保证期后</w:t>
      </w:r>
      <w:r>
        <w:rPr>
          <w:rFonts w:hint="eastAsia" w:ascii="宋体" w:hAnsi="宋体" w:cs="宋体"/>
          <w:bCs/>
          <w:color w:val="auto"/>
          <w:sz w:val="24"/>
          <w:szCs w:val="24"/>
          <w:lang w:val="en-US" w:eastAsia="zh-CN"/>
        </w:rPr>
        <w:t>采购</w:t>
      </w:r>
      <w:r>
        <w:rPr>
          <w:rFonts w:hint="eastAsia" w:ascii="宋体" w:hAnsi="宋体" w:eastAsia="宋体" w:cs="宋体"/>
          <w:bCs/>
          <w:color w:val="auto"/>
          <w:sz w:val="24"/>
          <w:szCs w:val="24"/>
          <w:lang w:val="en-US" w:eastAsia="zh-CN"/>
        </w:rPr>
        <w:t>方如委托中标方进行维护保养，请报五年不变维保价（包括每年维修保养的人工费、配件费、年检费，大、中、小修的人工费、配件费等所有费用），并详细列出维保内容。</w:t>
      </w:r>
    </w:p>
    <w:p w14:paraId="784AC429">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cs="宋体"/>
          <w:b/>
          <w:bCs w:val="0"/>
          <w:color w:val="auto"/>
          <w:sz w:val="24"/>
          <w:szCs w:val="24"/>
          <w:lang w:val="en-US" w:eastAsia="zh-CN"/>
        </w:rPr>
        <w:t>（二）</w:t>
      </w:r>
      <w:r>
        <w:rPr>
          <w:rFonts w:hint="eastAsia" w:ascii="宋体" w:hAnsi="宋体" w:eastAsia="宋体" w:cs="宋体"/>
          <w:b/>
          <w:bCs w:val="0"/>
          <w:color w:val="auto"/>
          <w:sz w:val="24"/>
          <w:szCs w:val="24"/>
          <w:lang w:val="en-US" w:eastAsia="zh-CN"/>
        </w:rPr>
        <w:t>维修与保养</w:t>
      </w:r>
    </w:p>
    <w:p w14:paraId="360DDFE1">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default" w:ascii="宋体" w:hAnsi="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电梯整机</w:t>
      </w:r>
      <w:r>
        <w:rPr>
          <w:rFonts w:hint="eastAsia" w:ascii="宋体" w:hAnsi="宋体" w:cs="宋体"/>
          <w:bCs/>
          <w:color w:val="auto"/>
          <w:sz w:val="24"/>
          <w:szCs w:val="24"/>
          <w:lang w:val="en-US" w:eastAsia="zh-CN"/>
        </w:rPr>
        <w:t>维修保养期限：不少于</w:t>
      </w:r>
      <w:r>
        <w:rPr>
          <w:rFonts w:hint="eastAsia" w:ascii="宋体" w:hAnsi="宋体" w:cs="宋体"/>
          <w:b/>
          <w:bCs w:val="0"/>
          <w:color w:val="auto"/>
          <w:sz w:val="24"/>
          <w:szCs w:val="24"/>
          <w:u w:val="single"/>
          <w:lang w:val="en-US" w:eastAsia="zh-CN"/>
        </w:rPr>
        <w:t>36</w:t>
      </w:r>
      <w:r>
        <w:rPr>
          <w:rFonts w:hint="eastAsia" w:ascii="宋体" w:hAnsi="宋体" w:eastAsia="宋体" w:cs="宋体"/>
          <w:b/>
          <w:bCs w:val="0"/>
          <w:color w:val="auto"/>
          <w:sz w:val="24"/>
          <w:szCs w:val="24"/>
          <w:u w:val="single"/>
          <w:lang w:val="en-US" w:eastAsia="zh-CN"/>
        </w:rPr>
        <w:t>个月</w:t>
      </w:r>
      <w:r>
        <w:rPr>
          <w:rFonts w:hint="eastAsia" w:ascii="宋体" w:hAnsi="宋体" w:cs="宋体"/>
          <w:b/>
          <w:bCs w:val="0"/>
          <w:color w:val="auto"/>
          <w:sz w:val="24"/>
          <w:szCs w:val="24"/>
          <w:u w:val="single"/>
          <w:lang w:val="en-US" w:eastAsia="zh-CN"/>
        </w:rPr>
        <w:t xml:space="preserve"> </w:t>
      </w:r>
      <w:r>
        <w:rPr>
          <w:rFonts w:hint="eastAsia" w:ascii="宋体" w:hAnsi="宋体" w:eastAsia="宋体" w:cs="宋体"/>
          <w:bCs/>
          <w:color w:val="auto"/>
          <w:sz w:val="24"/>
          <w:szCs w:val="24"/>
          <w:lang w:val="en-US" w:eastAsia="zh-CN"/>
        </w:rPr>
        <w:t>（自电梯验收取证之日算起）。</w:t>
      </w:r>
    </w:p>
    <w:p w14:paraId="0F8D7BEE">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2、中标</w:t>
      </w:r>
      <w:r>
        <w:rPr>
          <w:rFonts w:hint="eastAsia" w:ascii="宋体" w:hAnsi="宋体" w:eastAsia="宋体" w:cs="宋体"/>
          <w:bCs/>
          <w:color w:val="auto"/>
          <w:sz w:val="24"/>
          <w:szCs w:val="24"/>
          <w:lang w:val="en-US" w:eastAsia="zh-CN"/>
        </w:rPr>
        <w:t>人在</w:t>
      </w:r>
      <w:r>
        <w:rPr>
          <w:rFonts w:hint="eastAsia" w:ascii="宋体" w:hAnsi="宋体" w:cs="宋体"/>
          <w:bCs/>
          <w:color w:val="auto"/>
          <w:sz w:val="24"/>
          <w:szCs w:val="24"/>
          <w:lang w:val="en-US" w:eastAsia="zh-CN"/>
        </w:rPr>
        <w:t>采购人</w:t>
      </w:r>
      <w:r>
        <w:rPr>
          <w:rFonts w:hint="eastAsia" w:ascii="宋体" w:hAnsi="宋体" w:eastAsia="宋体" w:cs="宋体"/>
          <w:bCs/>
          <w:color w:val="auto"/>
          <w:sz w:val="24"/>
          <w:szCs w:val="24"/>
          <w:lang w:val="en-US" w:eastAsia="zh-CN"/>
        </w:rPr>
        <w:t>当地须设立售后服务站（点），售后服务站（点）必须具有当地质检部门颁</w:t>
      </w:r>
      <w:r>
        <w:rPr>
          <w:rFonts w:hint="eastAsia" w:ascii="宋体" w:hAnsi="宋体" w:cs="宋体"/>
          <w:bCs/>
          <w:color w:val="auto"/>
          <w:sz w:val="24"/>
          <w:szCs w:val="24"/>
          <w:lang w:val="en-US" w:eastAsia="zh-CN"/>
        </w:rPr>
        <w:t>发的</w:t>
      </w:r>
      <w:r>
        <w:rPr>
          <w:rFonts w:hint="eastAsia" w:ascii="宋体" w:hAnsi="宋体" w:eastAsia="宋体" w:cs="宋体"/>
          <w:bCs/>
          <w:color w:val="auto"/>
          <w:sz w:val="24"/>
          <w:szCs w:val="24"/>
          <w:lang w:val="en-US" w:eastAsia="zh-CN"/>
        </w:rPr>
        <w:t>电梯安装、维护、保养及改造许可证</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具有类似产品的维护、保养经验。</w:t>
      </w:r>
    </w:p>
    <w:p w14:paraId="1BDFE505">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、中标</w:t>
      </w:r>
      <w:r>
        <w:rPr>
          <w:rFonts w:hint="eastAsia" w:ascii="宋体" w:hAnsi="宋体" w:eastAsia="宋体" w:cs="宋体"/>
          <w:bCs/>
          <w:color w:val="auto"/>
          <w:sz w:val="24"/>
          <w:szCs w:val="24"/>
          <w:lang w:val="en-US" w:eastAsia="zh-CN"/>
        </w:rPr>
        <w:t>人应以低于市场价的优惠价格提供易损件。</w:t>
      </w:r>
    </w:p>
    <w:p w14:paraId="5CF1AFE0">
      <w:pPr>
        <w:pStyle w:val="9"/>
        <w:keepNext w:val="0"/>
        <w:keepLines w:val="0"/>
        <w:pageBreakBefore w:val="0"/>
        <w:widowControl w:val="0"/>
        <w:tabs>
          <w:tab w:val="left" w:pos="1008"/>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保养电梯每年一次全面整梯检修，并视不同易损部件实行1～6个月定期检修、维护。</w:t>
      </w:r>
    </w:p>
    <w:p w14:paraId="4658050A">
      <w:pPr>
        <w:widowControl/>
        <w:spacing w:line="360" w:lineRule="auto"/>
        <w:ind w:firstLine="480"/>
        <w:jc w:val="left"/>
        <w:rPr>
          <w:rFonts w:hint="eastAsia" w:ascii="宋体" w:hAnsi="宋体" w:cs="宋体"/>
          <w:color w:val="auto"/>
          <w:sz w:val="24"/>
        </w:rPr>
      </w:pPr>
      <w:r>
        <w:rPr>
          <w:rFonts w:hint="eastAsia" w:ascii="宋体" w:hAnsi="宋体" w:cs="宋体"/>
          <w:bCs/>
          <w:color w:val="auto"/>
          <w:sz w:val="24"/>
          <w:szCs w:val="24"/>
          <w:lang w:val="en-US" w:eastAsia="zh-CN"/>
        </w:rPr>
        <w:t>4、</w:t>
      </w:r>
      <w:r>
        <w:rPr>
          <w:rFonts w:hint="eastAsia" w:ascii="宋体" w:hAnsi="宋体" w:cs="宋体"/>
          <w:color w:val="auto"/>
          <w:sz w:val="24"/>
        </w:rPr>
        <w:t>在运行中出现紧急故障时（如人员被困电梯等），在接到报警电话后 0.5 小时内予以响应，1 小时内派技术人员到达现场解决。</w:t>
      </w:r>
    </w:p>
    <w:p w14:paraId="10CF49B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八、其他要求</w:t>
      </w:r>
    </w:p>
    <w:p w14:paraId="58BA1FC5">
      <w:pPr>
        <w:pStyle w:val="13"/>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Style w:val="17"/>
          <w:rFonts w:hint="eastAsia" w:ascii="宋体" w:hAnsi="宋体" w:eastAsia="宋体" w:cs="宋体"/>
          <w:b w:val="0"/>
          <w:bCs/>
          <w:color w:val="auto"/>
          <w:sz w:val="24"/>
          <w:szCs w:val="24"/>
          <w:highlight w:val="none"/>
          <w:shd w:val="clear" w:color="auto" w:fill="auto"/>
        </w:rPr>
      </w:pPr>
      <w:r>
        <w:rPr>
          <w:rStyle w:val="17"/>
          <w:rFonts w:hint="eastAsia" w:ascii="宋体" w:hAnsi="宋体" w:eastAsia="宋体" w:cs="宋体"/>
          <w:b w:val="0"/>
          <w:bCs/>
          <w:color w:val="auto"/>
          <w:sz w:val="24"/>
          <w:szCs w:val="24"/>
          <w:highlight w:val="none"/>
          <w:shd w:val="clear" w:color="auto" w:fill="auto"/>
        </w:rPr>
        <w:t>1、报价应包括但不限于以下费用：报价包括所投货物（包含与货物相关的服务）费用、拆除费、</w:t>
      </w:r>
      <w:r>
        <w:rPr>
          <w:rStyle w:val="17"/>
          <w:rFonts w:hint="eastAsia" w:ascii="宋体" w:hAnsi="宋体" w:eastAsia="宋体" w:cs="宋体"/>
          <w:b w:val="0"/>
          <w:bCs/>
          <w:color w:val="auto"/>
          <w:sz w:val="24"/>
          <w:szCs w:val="24"/>
          <w:highlight w:val="none"/>
          <w:shd w:val="clear" w:color="auto" w:fill="auto"/>
          <w:lang w:val="en-US"/>
        </w:rPr>
        <w:t>安装费（含拆除及安装施工用水电费、电梯安装所需的全部主辅材料、人工费、机械费、措施费等）、</w:t>
      </w:r>
      <w:r>
        <w:rPr>
          <w:rStyle w:val="17"/>
          <w:rFonts w:hint="eastAsia" w:ascii="宋体" w:hAnsi="宋体" w:eastAsia="宋体" w:cs="宋体"/>
          <w:b w:val="0"/>
          <w:bCs/>
          <w:color w:val="auto"/>
          <w:sz w:val="24"/>
          <w:szCs w:val="24"/>
          <w:highlight w:val="none"/>
          <w:shd w:val="clear" w:color="auto" w:fill="auto"/>
        </w:rPr>
        <w:t>调试费、测试验收费、培训费、</w:t>
      </w:r>
      <w:r>
        <w:rPr>
          <w:rStyle w:val="17"/>
          <w:rFonts w:hint="eastAsia" w:ascii="宋体" w:hAnsi="宋体" w:eastAsia="宋体" w:cs="宋体"/>
          <w:b w:val="0"/>
          <w:bCs/>
          <w:color w:val="auto"/>
          <w:sz w:val="24"/>
          <w:szCs w:val="24"/>
          <w:highlight w:val="none"/>
          <w:shd w:val="clear" w:color="auto" w:fill="auto"/>
          <w:lang w:val="en-US"/>
        </w:rPr>
        <w:t>售后服务</w:t>
      </w:r>
      <w:r>
        <w:rPr>
          <w:rStyle w:val="17"/>
          <w:rFonts w:hint="eastAsia" w:ascii="宋体" w:hAnsi="宋体" w:eastAsia="宋体" w:cs="宋体"/>
          <w:b w:val="0"/>
          <w:bCs/>
          <w:color w:val="auto"/>
          <w:sz w:val="24"/>
          <w:szCs w:val="24"/>
          <w:highlight w:val="none"/>
          <w:shd w:val="clear" w:color="auto" w:fill="auto"/>
        </w:rPr>
        <w:t>费用、税金、电梯监检费（取得电梯运行合格证）及其他有关的为完成本项目发生的所有费用。</w:t>
      </w:r>
    </w:p>
    <w:p w14:paraId="742FF1F1">
      <w:pPr>
        <w:keepNext w:val="0"/>
        <w:keepLines w:val="0"/>
        <w:pageBreakBefore w:val="0"/>
        <w:kinsoku/>
        <w:wordWrap/>
        <w:overflowPunct/>
        <w:topLinePunct w:val="0"/>
        <w:autoSpaceDE/>
        <w:autoSpaceDN/>
        <w:bidi w:val="0"/>
        <w:adjustRightInd/>
        <w:snapToGrid/>
        <w:spacing w:line="360" w:lineRule="auto"/>
        <w:ind w:firstLine="480"/>
        <w:jc w:val="left"/>
        <w:textAlignment w:val="auto"/>
        <w:outlineLvl w:val="9"/>
        <w:rPr>
          <w:rStyle w:val="17"/>
          <w:rFonts w:hint="eastAsia" w:ascii="宋体" w:hAnsi="宋体" w:eastAsia="宋体" w:cs="宋体"/>
          <w:color w:val="auto"/>
          <w:sz w:val="24"/>
          <w:szCs w:val="24"/>
          <w:highlight w:val="none"/>
          <w:shd w:val="clear" w:color="auto" w:fill="auto"/>
        </w:rPr>
      </w:pPr>
      <w:r>
        <w:rPr>
          <w:rStyle w:val="17"/>
          <w:rFonts w:hint="eastAsia" w:ascii="宋体" w:hAnsi="宋体" w:eastAsia="宋体" w:cs="宋体"/>
          <w:color w:val="auto"/>
          <w:sz w:val="24"/>
          <w:szCs w:val="24"/>
          <w:highlight w:val="none"/>
          <w:shd w:val="clear" w:color="auto" w:fill="auto"/>
        </w:rPr>
        <w:t>2、各潜在投标人应自行踏勘现场，充分理解采购人使用需求，必须保证产品的功能性和完整性，未在清单中明示的辅材、配件及安装调试费已含在报价内，如项目实施过程中因缺少配件、辅材导致产品无法正常运行，中标人须免费提供。井道施工中，如涉及到建筑物拆除恢复及恢复、电梯基坑、土建安装、钢结构施工及措施费（安全文明施工、二次搬运、地上、地下设施、建筑物的临时保护设施、已完工程及设备保护、临时设施、脚手架、模板、机械吊装等）等所有费用均包含在投标报价内。</w:t>
      </w:r>
    </w:p>
    <w:p w14:paraId="34C61C08">
      <w:pPr>
        <w:keepNext w:val="0"/>
        <w:keepLines w:val="0"/>
        <w:pageBreakBefore w:val="0"/>
        <w:kinsoku/>
        <w:wordWrap/>
        <w:overflowPunct/>
        <w:topLinePunct w:val="0"/>
        <w:autoSpaceDE/>
        <w:autoSpaceDN/>
        <w:bidi w:val="0"/>
        <w:adjustRightInd/>
        <w:snapToGrid/>
        <w:spacing w:line="360" w:lineRule="auto"/>
        <w:ind w:firstLine="480"/>
        <w:textAlignment w:val="auto"/>
        <w:rPr>
          <w:rFonts w:cs="仿宋_GB2312"/>
          <w:color w:val="auto"/>
          <w:sz w:val="24"/>
          <w:highlight w:val="none"/>
        </w:rPr>
      </w:pPr>
      <w:r>
        <w:rPr>
          <w:rStyle w:val="17"/>
          <w:rFonts w:hint="eastAsia" w:ascii="宋体" w:hAnsi="宋体" w:eastAsia="宋体" w:cs="宋体"/>
          <w:color w:val="auto"/>
          <w:sz w:val="24"/>
          <w:szCs w:val="24"/>
          <w:highlight w:val="none"/>
          <w:shd w:val="clear" w:color="auto" w:fill="auto"/>
          <w:lang w:val="en-US" w:eastAsia="zh-CN"/>
        </w:rPr>
        <w:t>3</w:t>
      </w:r>
      <w:r>
        <w:rPr>
          <w:rStyle w:val="17"/>
          <w:rFonts w:hint="eastAsia" w:ascii="宋体" w:hAnsi="宋体" w:eastAsia="宋体" w:cs="宋体"/>
          <w:color w:val="auto"/>
          <w:sz w:val="24"/>
          <w:szCs w:val="24"/>
          <w:highlight w:val="none"/>
          <w:shd w:val="clear" w:color="auto" w:fill="auto"/>
        </w:rPr>
        <w:t>、</w:t>
      </w:r>
      <w:r>
        <w:rPr>
          <w:rFonts w:hint="eastAsia" w:cs="仿宋_GB2312"/>
          <w:color w:val="auto"/>
          <w:sz w:val="24"/>
          <w:highlight w:val="none"/>
        </w:rPr>
        <w:t>商品包装、快递包装政府采购需求标准（试行）</w:t>
      </w:r>
    </w:p>
    <w:p w14:paraId="2B4CBCBD">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cs="仿宋_GB2312"/>
          <w:color w:val="auto"/>
          <w:sz w:val="24"/>
          <w:highlight w:val="none"/>
        </w:rPr>
      </w:pPr>
      <w:r>
        <w:rPr>
          <w:rFonts w:hint="eastAsia" w:cs="仿宋_GB2312"/>
          <w:color w:val="auto"/>
          <w:sz w:val="24"/>
          <w:highlight w:val="none"/>
        </w:rPr>
        <w:t>为助力打好污染防治攻坚战，推广使用绿色包装，本项目涉及商品包装和快递包装的</w:t>
      </w:r>
      <w:r>
        <w:rPr>
          <w:rFonts w:hint="eastAsia" w:cs="仿宋_GB2312"/>
          <w:color w:val="auto"/>
          <w:sz w:val="24"/>
          <w:highlight w:val="none"/>
          <w:lang w:val="en-US" w:eastAsia="zh-CN"/>
        </w:rPr>
        <w:t>应符合</w:t>
      </w:r>
      <w:r>
        <w:rPr>
          <w:rFonts w:hint="eastAsia" w:cs="仿宋_GB2312"/>
          <w:color w:val="auto"/>
          <w:sz w:val="24"/>
          <w:highlight w:val="none"/>
        </w:rPr>
        <w:t>财政部印发的《商品包装政府采购需求标准（试行）》、《快递包装政府采购需求标准（试行）》</w:t>
      </w:r>
      <w:r>
        <w:rPr>
          <w:rFonts w:hint="eastAsia" w:cs="仿宋_GB2312"/>
          <w:color w:val="auto"/>
          <w:sz w:val="24"/>
          <w:highlight w:val="none"/>
          <w:lang w:val="en-US" w:eastAsia="zh-CN"/>
        </w:rPr>
        <w:t>规定</w:t>
      </w:r>
      <w:r>
        <w:rPr>
          <w:rFonts w:hint="eastAsia" w:cs="仿宋_GB2312"/>
          <w:color w:val="auto"/>
          <w:sz w:val="24"/>
          <w:highlight w:val="none"/>
        </w:rPr>
        <w:t>。</w:t>
      </w:r>
    </w:p>
    <w:p w14:paraId="56CAF6C2">
      <w:pPr>
        <w:keepNext w:val="0"/>
        <w:keepLines w:val="0"/>
        <w:pageBreakBefore w:val="0"/>
        <w:kinsoku/>
        <w:wordWrap/>
        <w:overflowPunct/>
        <w:topLinePunct w:val="0"/>
        <w:autoSpaceDE/>
        <w:autoSpaceDN/>
        <w:bidi w:val="0"/>
        <w:adjustRightInd/>
        <w:snapToGrid/>
        <w:spacing w:line="360" w:lineRule="auto"/>
        <w:ind w:firstLine="480"/>
        <w:textAlignment w:val="auto"/>
        <w:rPr>
          <w:rFonts w:cs="仿宋_GB2312"/>
          <w:color w:val="auto"/>
          <w:sz w:val="24"/>
          <w:highlight w:val="none"/>
        </w:rPr>
      </w:pPr>
      <w:r>
        <w:rPr>
          <w:rStyle w:val="17"/>
          <w:rFonts w:hint="eastAsia" w:ascii="宋体" w:hAnsi="宋体" w:eastAsia="宋体" w:cs="宋体"/>
          <w:color w:val="auto"/>
          <w:sz w:val="24"/>
          <w:szCs w:val="24"/>
          <w:highlight w:val="none"/>
          <w:shd w:val="clear" w:color="auto" w:fill="auto"/>
          <w:lang w:val="en-US" w:eastAsia="zh-CN"/>
        </w:rPr>
        <w:t>4、</w:t>
      </w:r>
      <w:r>
        <w:rPr>
          <w:rFonts w:hint="eastAsia" w:cs="仿宋_GB2312"/>
          <w:color w:val="auto"/>
          <w:sz w:val="24"/>
          <w:highlight w:val="none"/>
        </w:rPr>
        <w:t>政府采购节能产品、环境标志产品</w:t>
      </w:r>
    </w:p>
    <w:p w14:paraId="4891E4E9">
      <w:pPr>
        <w:spacing w:line="480" w:lineRule="exact"/>
        <w:ind w:firstLine="480"/>
        <w:rPr>
          <w:rFonts w:cs="仿宋_GB2312"/>
          <w:color w:val="auto"/>
          <w:sz w:val="24"/>
          <w:highlight w:val="none"/>
        </w:rPr>
      </w:pPr>
      <w:r>
        <w:rPr>
          <w:rFonts w:hint="eastAsia" w:cs="仿宋_GB2312"/>
          <w:color w:val="auto"/>
          <w:sz w:val="24"/>
          <w:highlight w:val="none"/>
        </w:rPr>
        <w:t>（1）</w:t>
      </w:r>
      <w:r>
        <w:rPr>
          <w:rFonts w:hint="eastAsia" w:ascii="Times New Roman" w:hAnsi="Times New Roman" w:cs="仿宋"/>
          <w:color w:val="auto"/>
          <w:sz w:val="24"/>
          <w:highlight w:val="none"/>
        </w:rPr>
        <w:t>拟采购的产品属于品目清单范围的，采购人将依据国家确定的认证机构出具的、处于有效期之内的节能产品、环境标志产品认证证书，对获得证书的产品实施政府优先采购或强制采购。</w:t>
      </w:r>
    </w:p>
    <w:p w14:paraId="38EB4F4A">
      <w:pPr>
        <w:keepNext w:val="0"/>
        <w:keepLines w:val="0"/>
        <w:pageBreakBefore w:val="0"/>
        <w:kinsoku/>
        <w:wordWrap/>
        <w:overflowPunct/>
        <w:topLinePunct w:val="0"/>
        <w:autoSpaceDE/>
        <w:autoSpaceDN/>
        <w:bidi w:val="0"/>
        <w:adjustRightInd/>
        <w:snapToGrid/>
        <w:spacing w:line="360" w:lineRule="auto"/>
        <w:ind w:firstLine="480"/>
        <w:textAlignment w:val="auto"/>
        <w:rPr>
          <w:rFonts w:cs="仿宋_GB2312"/>
          <w:color w:val="auto"/>
          <w:sz w:val="24"/>
          <w:highlight w:val="none"/>
        </w:rPr>
      </w:pPr>
      <w:r>
        <w:rPr>
          <w:rFonts w:hint="eastAsia" w:cs="仿宋_GB2312"/>
          <w:color w:val="auto"/>
          <w:sz w:val="24"/>
          <w:highlight w:val="none"/>
        </w:rPr>
        <w:t>（2）</w:t>
      </w:r>
      <w:r>
        <w:rPr>
          <w:rFonts w:hint="eastAsia" w:ascii="Times New Roman" w:hAnsi="Times New Roman" w:cs="仿宋"/>
          <w:color w:val="auto"/>
          <w:sz w:val="24"/>
          <w:highlight w:val="none"/>
        </w:rPr>
        <w:t>拟采购的产品属于政府强制采购的节能产品品目清单范围的，供应商须提供国家确定的认证机构出具的、处于有效期之内的节能产品认证证书，否则其响应文件按无效标处理。</w:t>
      </w:r>
    </w:p>
    <w:p w14:paraId="1918FF63">
      <w:pPr>
        <w:keepNext w:val="0"/>
        <w:keepLines w:val="0"/>
        <w:pageBreakBefore w:val="0"/>
        <w:kinsoku/>
        <w:wordWrap/>
        <w:overflowPunct/>
        <w:topLinePunct w:val="0"/>
        <w:autoSpaceDE/>
        <w:autoSpaceDN/>
        <w:bidi w:val="0"/>
        <w:adjustRightInd/>
        <w:snapToGrid/>
        <w:spacing w:line="360" w:lineRule="auto"/>
        <w:ind w:firstLine="480"/>
        <w:textAlignment w:val="auto"/>
        <w:rPr>
          <w:rFonts w:cs="仿宋_GB2312"/>
          <w:color w:val="auto"/>
          <w:sz w:val="24"/>
          <w:highlight w:val="none"/>
        </w:rPr>
      </w:pPr>
      <w:r>
        <w:rPr>
          <w:rFonts w:hint="eastAsia" w:cs="仿宋_GB2312"/>
          <w:color w:val="auto"/>
          <w:sz w:val="24"/>
          <w:highlight w:val="none"/>
        </w:rPr>
        <w:t>（3）</w:t>
      </w:r>
      <w:r>
        <w:rPr>
          <w:rFonts w:hint="eastAsia" w:ascii="Times New Roman" w:hAnsi="Times New Roman" w:cs="仿宋"/>
          <w:color w:val="auto"/>
          <w:sz w:val="24"/>
          <w:highlight w:val="none"/>
        </w:rPr>
        <w:t>拟采购的产品属于优先采购的节能环保品目清单范围的，对提供有效节能产品或环境标志产品认证证书的供应商加分。</w:t>
      </w:r>
    </w:p>
    <w:p w14:paraId="026FC0F1">
      <w:pPr>
        <w:keepNext w:val="0"/>
        <w:keepLines w:val="0"/>
        <w:pageBreakBefore w:val="0"/>
        <w:kinsoku/>
        <w:wordWrap/>
        <w:overflowPunct/>
        <w:topLinePunct w:val="0"/>
        <w:autoSpaceDE/>
        <w:autoSpaceDN/>
        <w:bidi w:val="0"/>
        <w:adjustRightInd/>
        <w:snapToGrid/>
        <w:spacing w:line="360" w:lineRule="auto"/>
        <w:ind w:firstLine="480"/>
        <w:textAlignment w:val="auto"/>
        <w:rPr>
          <w:rFonts w:cs="仿宋_GB2312"/>
          <w:color w:val="auto"/>
          <w:sz w:val="24"/>
          <w:highlight w:val="none"/>
        </w:rPr>
      </w:pPr>
      <w:r>
        <w:rPr>
          <w:rStyle w:val="17"/>
          <w:rFonts w:hint="eastAsia" w:ascii="宋体" w:hAnsi="宋体" w:eastAsia="宋体" w:cs="宋体"/>
          <w:color w:val="auto"/>
          <w:sz w:val="24"/>
          <w:szCs w:val="24"/>
          <w:highlight w:val="none"/>
          <w:shd w:val="clear" w:color="auto" w:fill="auto"/>
          <w:lang w:val="en-US" w:eastAsia="zh-CN"/>
        </w:rPr>
        <w:t>5、</w:t>
      </w:r>
      <w:r>
        <w:rPr>
          <w:rFonts w:hint="eastAsia" w:cs="仿宋_GB2312"/>
          <w:color w:val="auto"/>
          <w:sz w:val="24"/>
          <w:highlight w:val="none"/>
        </w:rPr>
        <w:t>绿色数据中心政府采购需求标准（试行）</w:t>
      </w:r>
    </w:p>
    <w:p w14:paraId="20A355CB">
      <w:pPr>
        <w:keepNext w:val="0"/>
        <w:keepLines w:val="0"/>
        <w:pageBreakBefore w:val="0"/>
        <w:kinsoku/>
        <w:wordWrap/>
        <w:overflowPunct/>
        <w:topLinePunct w:val="0"/>
        <w:autoSpaceDE/>
        <w:autoSpaceDN/>
        <w:bidi w:val="0"/>
        <w:adjustRightInd/>
        <w:snapToGrid/>
        <w:spacing w:line="360" w:lineRule="auto"/>
        <w:textAlignment w:val="auto"/>
        <w:rPr>
          <w:color w:val="auto"/>
        </w:rPr>
      </w:pPr>
      <w:r>
        <w:rPr>
          <w:rFonts w:hint="eastAsia" w:cs="仿宋_GB2312"/>
          <w:color w:val="auto"/>
          <w:sz w:val="24"/>
          <w:highlight w:val="none"/>
        </w:rPr>
        <w:t>为加快数据中心绿色转型，根据财政部 生态环境部 工业和信息化部关于印发《绿色数据中心政府采购需求标准（试行）》的通知），本项目如涉及绿色数据中心，</w:t>
      </w:r>
      <w:r>
        <w:rPr>
          <w:rFonts w:hint="eastAsia" w:cs="仿宋_GB2312"/>
          <w:color w:val="auto"/>
          <w:sz w:val="24"/>
          <w:highlight w:val="none"/>
          <w:lang w:val="en-US" w:eastAsia="zh-CN"/>
        </w:rPr>
        <w:t>按</w:t>
      </w:r>
      <w:r>
        <w:rPr>
          <w:rFonts w:hint="eastAsia" w:cs="仿宋_GB2312"/>
          <w:color w:val="auto"/>
          <w:sz w:val="24"/>
          <w:highlight w:val="none"/>
        </w:rPr>
        <w:t>《绿色数据中心政府采购需求标准（试行）》</w:t>
      </w:r>
      <w:r>
        <w:rPr>
          <w:rFonts w:hint="eastAsia" w:cs="仿宋_GB2312"/>
          <w:color w:val="auto"/>
          <w:sz w:val="24"/>
          <w:highlight w:val="none"/>
          <w:lang w:val="en-US" w:eastAsia="zh-CN"/>
        </w:rPr>
        <w:t>执行</w:t>
      </w:r>
      <w:r>
        <w:rPr>
          <w:rFonts w:hint="eastAsia" w:cs="仿宋_GB2312"/>
          <w:color w:val="auto"/>
          <w:sz w:val="24"/>
          <w:highlight w:val="none"/>
        </w:rPr>
        <w:t>。</w:t>
      </w:r>
    </w:p>
    <w:p w14:paraId="5002CF1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6E255"/>
    <w:multiLevelType w:val="singleLevel"/>
    <w:tmpl w:val="0EB6E2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85533"/>
    <w:rsid w:val="05BA7125"/>
    <w:rsid w:val="06980C1A"/>
    <w:rsid w:val="08AB0A16"/>
    <w:rsid w:val="1E2C4A82"/>
    <w:rsid w:val="24525B8A"/>
    <w:rsid w:val="24AA3424"/>
    <w:rsid w:val="2D735A67"/>
    <w:rsid w:val="345662BE"/>
    <w:rsid w:val="3609635E"/>
    <w:rsid w:val="3B252AC6"/>
    <w:rsid w:val="3BDD0955"/>
    <w:rsid w:val="409A37F5"/>
    <w:rsid w:val="4A4C6847"/>
    <w:rsid w:val="4CAF130F"/>
    <w:rsid w:val="4DB017E2"/>
    <w:rsid w:val="52B95CAE"/>
    <w:rsid w:val="54177EC5"/>
    <w:rsid w:val="551E34D6"/>
    <w:rsid w:val="63885533"/>
    <w:rsid w:val="70CC68DC"/>
    <w:rsid w:val="7413444E"/>
    <w:rsid w:val="7A2D7224"/>
    <w:rsid w:val="7A7A1796"/>
    <w:rsid w:val="7F56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_16"/>
    <w:next w:val="8"/>
    <w:qFormat/>
    <w:uiPriority w:val="0"/>
    <w:pPr>
      <w:widowControl w:val="0"/>
      <w:jc w:val="both"/>
    </w:pPr>
    <w:rPr>
      <w:rFonts w:ascii="Calibri" w:hAnsi="Calibri" w:eastAsia="宋体" w:cs="Times New Roman"/>
      <w:sz w:val="21"/>
      <w:szCs w:val="22"/>
      <w:lang w:val="en-US" w:eastAsia="zh-CN" w:bidi="ar-SA"/>
    </w:rPr>
  </w:style>
  <w:style w:type="paragraph" w:customStyle="1" w:styleId="8">
    <w:name w:val="正文文本 2_0"/>
    <w:basedOn w:val="7"/>
    <w:qFormat/>
    <w:uiPriority w:val="0"/>
    <w:rPr>
      <w:rFonts w:ascii="仿宋_GB2312" w:eastAsia="仿宋_GB2312"/>
      <w:sz w:val="28"/>
    </w:rPr>
  </w:style>
  <w:style w:type="paragraph" w:customStyle="1" w:styleId="9">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3_0"/>
    <w:next w:val="11"/>
    <w:qFormat/>
    <w:uiPriority w:val="0"/>
    <w:pPr>
      <w:widowControl w:val="0"/>
      <w:jc w:val="both"/>
    </w:pPr>
    <w:rPr>
      <w:rFonts w:ascii="Calibri" w:hAnsi="Calibri" w:eastAsia="宋体" w:cs="Times New Roman"/>
      <w:sz w:val="21"/>
      <w:szCs w:val="22"/>
      <w:lang w:val="en-US" w:eastAsia="zh-CN" w:bidi="ar-SA"/>
    </w:rPr>
  </w:style>
  <w:style w:type="paragraph" w:customStyle="1" w:styleId="11">
    <w:name w:val="正文文本缩进_0"/>
    <w:basedOn w:val="12"/>
    <w:qFormat/>
    <w:uiPriority w:val="0"/>
    <w:pPr>
      <w:ind w:firstLine="225"/>
    </w:pPr>
    <w:rPr>
      <w:rFonts w:ascii="仿宋_GB2312" w:eastAsia="仿宋_GB2312"/>
      <w:sz w:val="32"/>
    </w:rPr>
  </w:style>
  <w:style w:type="paragraph" w:customStyle="1" w:styleId="12">
    <w:name w:val="正文_2"/>
    <w:next w:val="11"/>
    <w:qFormat/>
    <w:uiPriority w:val="0"/>
    <w:pPr>
      <w:widowControl w:val="0"/>
      <w:jc w:val="both"/>
    </w:pPr>
    <w:rPr>
      <w:rFonts w:ascii="Calibri" w:hAnsi="Calibri" w:eastAsia="宋体" w:cs="Times New Roman"/>
      <w:sz w:val="21"/>
      <w:szCs w:val="22"/>
      <w:lang w:val="en-US" w:eastAsia="zh-CN" w:bidi="ar-SA"/>
    </w:rPr>
  </w:style>
  <w:style w:type="paragraph" w:customStyle="1" w:styleId="13">
    <w:name w:val="Normal_19"/>
    <w:next w:val="14"/>
    <w:qFormat/>
    <w:uiPriority w:val="0"/>
    <w:rPr>
      <w:rFonts w:ascii="黑体" w:hAnsi="黑体" w:eastAsia="黑体" w:cs="黑体"/>
      <w:b/>
      <w:sz w:val="32"/>
      <w:szCs w:val="24"/>
      <w:lang w:val="en-US" w:eastAsia="zh-CN" w:bidi="ar-SA"/>
    </w:rPr>
  </w:style>
  <w:style w:type="paragraph" w:customStyle="1" w:styleId="14">
    <w:name w:val="Normal"/>
    <w:next w:val="15"/>
    <w:qFormat/>
    <w:uiPriority w:val="0"/>
    <w:pPr>
      <w:widowControl w:val="0"/>
      <w:jc w:val="both"/>
    </w:pPr>
    <w:rPr>
      <w:rFonts w:ascii="Times New Roman" w:hAnsi="Times New Roman" w:eastAsia="宋体" w:cs="Times New Roman"/>
      <w:szCs w:val="21"/>
      <w:lang w:val="en-US" w:eastAsia="zh-CN" w:bidi="ar-SA"/>
    </w:rPr>
  </w:style>
  <w:style w:type="paragraph" w:customStyle="1" w:styleId="15">
    <w:name w:val="Body Text First Indent1"/>
    <w:basedOn w:val="16"/>
    <w:unhideWhenUsed/>
    <w:qFormat/>
    <w:uiPriority w:val="99"/>
    <w:pPr>
      <w:ind w:firstLine="420" w:firstLineChars="100"/>
    </w:pPr>
  </w:style>
  <w:style w:type="paragraph" w:customStyle="1" w:styleId="16">
    <w:name w:val="Body Text1"/>
    <w:basedOn w:val="14"/>
    <w:unhideWhenUsed/>
    <w:qFormat/>
    <w:uiPriority w:val="99"/>
    <w:pPr>
      <w:spacing w:after="120"/>
    </w:pPr>
  </w:style>
  <w:style w:type="character" w:customStyle="1" w:styleId="17">
    <w:name w:val="默认段落字体1"/>
    <w:unhideWhenUsed/>
    <w:qFormat/>
    <w:uiPriority w:val="1"/>
    <w:rPr>
      <w:rFonts w:ascii="Calibri" w:hAnsi="Calibri" w:eastAsia="宋体" w:cs="Times New Roman"/>
      <w:sz w:val="21"/>
      <w:szCs w:val="22"/>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10782</Words>
  <Characters>11608</Characters>
  <Lines>0</Lines>
  <Paragraphs>0</Paragraphs>
  <TotalTime>5</TotalTime>
  <ScaleCrop>false</ScaleCrop>
  <LinksUpToDate>false</LinksUpToDate>
  <CharactersWithSpaces>11686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2025-04-16T11:09:00Z</dcterms:created>
  <dc:creator>陈</dc:creator>
  <cp:lastModifiedBy>凌</cp:lastModifiedBy>
  <dcterms:modified xsi:type="dcterms:W3CDTF">2025-08-14T02:03:14Z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4D152211926A4D21830808ADD6845DA5_11</vt:lpwstr>
  </property>
  <property fmtid="{D5CDD505-2E9C-101B-9397-08002B2CF9AE}" pid="4" name="KSOTemplateDocerSaveRecord">
    <vt:lpwstr>eyJoZGlkIjoiOWM5ZWM3MjRlNTcxODUzNTdjNzdjOGY2ZDVhZjA4ZGYiLCJ1c2VySWQiOiI1MDQ0ODQwOTUifQ==</vt:lpwstr>
  </property>
</Properties>
</file>